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重庆亿企机械制造有限公司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唐春贤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不符合事实描述:查《计量器具台账》生产车间及检验部门均按策划的要求配置了相应的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量具</w:t>
            </w:r>
            <w:r>
              <w:rPr>
                <w:rFonts w:hint="eastAsia" w:ascii="方正仿宋简体" w:eastAsia="方正仿宋简体"/>
                <w:b/>
              </w:rPr>
              <w:t>，其中包括：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游标卡尺、外径千分尺、内径千分尺、百分表、塞规</w:t>
            </w:r>
            <w:r>
              <w:rPr>
                <w:rFonts w:hint="eastAsia" w:ascii="方正仿宋简体" w:eastAsia="方正仿宋简体"/>
                <w:b/>
              </w:rPr>
              <w:t>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以上量具</w:t>
            </w:r>
            <w:r>
              <w:rPr>
                <w:rFonts w:hint="eastAsia" w:ascii="方正仿宋简体" w:eastAsia="方正仿宋简体"/>
                <w:b/>
              </w:rPr>
              <w:t>的检定证书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，不能提供以上量具的有效的校准证书，不符合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ISO9001：2015标准7.1.5条款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53813"/>
    <w:rsid w:val="73756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2020-09-14T06:37:00Z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