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综合部</w:t>
      </w:r>
      <w:r>
        <w:rPr>
          <w:rFonts w:hint="eastAsia"/>
          <w:sz w:val="24"/>
          <w:szCs w:val="24"/>
        </w:rPr>
        <w:t>、</w:t>
      </w:r>
      <w:r>
        <w:rPr>
          <w:rFonts w:hint="eastAsia"/>
          <w:sz w:val="24"/>
          <w:szCs w:val="24"/>
          <w:lang w:eastAsia="zh-CN"/>
        </w:rPr>
        <w:t>经营部</w:t>
      </w:r>
      <w:r>
        <w:rPr>
          <w:rFonts w:hint="eastAsia"/>
          <w:sz w:val="24"/>
          <w:szCs w:val="24"/>
          <w:lang w:val="en-US" w:eastAsia="zh-CN"/>
        </w:rPr>
        <w:t xml:space="preserve">    </w:t>
      </w:r>
    </w:p>
    <w:p>
      <w:pPr>
        <w:spacing w:line="480" w:lineRule="exact"/>
        <w:jc w:val="left"/>
        <w:rPr>
          <w:rFonts w:hint="eastAsia" w:ascii="隶书" w:hAnsi="宋体" w:eastAsia="宋体"/>
          <w:bCs/>
          <w:color w:val="000000"/>
          <w:sz w:val="36"/>
          <w:szCs w:val="36"/>
          <w:lang w:eastAsia="zh-CN"/>
        </w:rPr>
      </w:pPr>
      <w:r>
        <w:rPr>
          <w:rFonts w:hint="eastAsia"/>
          <w:sz w:val="24"/>
          <w:szCs w:val="24"/>
        </w:rPr>
        <w:t>陪同人员：</w:t>
      </w:r>
      <w:r>
        <w:rPr>
          <w:rFonts w:hint="eastAsia"/>
          <w:sz w:val="24"/>
          <w:szCs w:val="24"/>
          <w:lang w:eastAsia="zh-CN"/>
        </w:rPr>
        <w:t>林立杰</w:t>
      </w:r>
      <w:r>
        <w:rPr>
          <w:rFonts w:hint="eastAsia"/>
          <w:sz w:val="24"/>
          <w:szCs w:val="24"/>
          <w:lang w:val="en-US" w:eastAsia="zh-CN"/>
        </w:rPr>
        <w:t xml:space="preserve"> ，  </w:t>
      </w:r>
      <w:r>
        <w:rPr>
          <w:rFonts w:hint="eastAsia"/>
          <w:sz w:val="24"/>
          <w:szCs w:val="24"/>
        </w:rPr>
        <w:t>审核员：</w:t>
      </w:r>
      <w:r>
        <w:rPr>
          <w:rFonts w:hint="eastAsia" w:ascii="宋体" w:hAnsi="宋体" w:cs="宋体"/>
          <w:color w:val="000000"/>
          <w:kern w:val="0"/>
          <w:szCs w:val="21"/>
          <w:lang w:val="en-US" w:eastAsia="zh-CN"/>
        </w:rPr>
        <w:t>杨珍全、冉</w:t>
      </w:r>
      <w:r>
        <w:rPr>
          <w:rFonts w:ascii="宋体" w:hAnsi="宋体" w:cs="宋体"/>
          <w:color w:val="000000"/>
          <w:kern w:val="0"/>
          <w:szCs w:val="21"/>
        </w:rPr>
        <w:t>景洲</w:t>
      </w:r>
      <w:r>
        <w:rPr>
          <w:rFonts w:hint="eastAsia"/>
          <w:sz w:val="24"/>
          <w:szCs w:val="24"/>
          <w:lang w:eastAsia="zh-CN"/>
        </w:rPr>
        <w:t>、</w:t>
      </w:r>
      <w:r>
        <w:rPr>
          <w:rFonts w:ascii="宋体" w:hAnsi="宋体" w:cs="宋体"/>
          <w:color w:val="000000"/>
          <w:kern w:val="0"/>
          <w:szCs w:val="21"/>
        </w:rPr>
        <w:t>余家龙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 xml:space="preserve">宋明珠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2020年9月15日</w:t>
      </w:r>
    </w:p>
    <w:p>
      <w:pPr>
        <w:spacing w:line="480" w:lineRule="exact"/>
        <w:jc w:val="center"/>
        <w:rPr>
          <w:rFonts w:hint="eastAsia" w:ascii="隶书" w:hAnsi="宋体" w:eastAsia="隶书"/>
          <w:bCs/>
          <w:color w:val="000000"/>
          <w:sz w:val="36"/>
          <w:szCs w:val="36"/>
        </w:rPr>
      </w:pPr>
    </w:p>
    <w:tbl>
      <w:tblPr>
        <w:tblStyle w:val="8"/>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jc w:val="center"/>
              <w:rPr>
                <w:rFonts w:hint="eastAsia" w:ascii="宋体" w:hAnsi="宋体" w:eastAsia="宋体"/>
                <w:szCs w:val="21"/>
                <w:lang w:eastAsia="zh-CN"/>
              </w:rPr>
            </w:pPr>
            <w:r>
              <w:rPr>
                <w:rFonts w:ascii="宋体" w:hAnsi="宋体" w:cs="宋体"/>
                <w:color w:val="000000"/>
                <w:kern w:val="0"/>
                <w:szCs w:val="21"/>
              </w:rPr>
              <w:t>冉景洲</w:t>
            </w:r>
            <w:r>
              <w:rPr>
                <w:rFonts w:hint="eastAsia"/>
                <w:sz w:val="24"/>
                <w:szCs w:val="24"/>
                <w:lang w:eastAsia="zh-CN"/>
              </w:rPr>
              <w:t>、</w:t>
            </w:r>
            <w:r>
              <w:rPr>
                <w:rFonts w:ascii="宋体" w:hAnsi="宋体" w:cs="宋体"/>
                <w:color w:val="000000"/>
                <w:kern w:val="0"/>
                <w:szCs w:val="21"/>
              </w:rPr>
              <w:t>余家龙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rFonts w:hint="eastAsia"/>
                <w:szCs w:val="21"/>
              </w:rPr>
            </w:pPr>
            <w:r>
              <w:rPr>
                <w:rFonts w:hint="eastAsia" w:ascii="宋体" w:hAnsi="宋体" w:cs="宋体"/>
                <w:bCs/>
              </w:rPr>
              <w:t>重庆苏友交通工程材料有限公司：成立于2017年，公司地址位于重庆市南岸区腾龙大道46号12-15。主要从事交通工程材料、金属制品、不锈钢制品的销售</w:t>
            </w:r>
            <w:r>
              <w:rPr>
                <w:rFonts w:hint="eastAsia" w:ascii="宋体" w:hAnsi="宋体" w:cs="宋体"/>
                <w:bCs/>
                <w:lang w:eastAsia="zh-CN"/>
              </w:rPr>
              <w:t>，</w:t>
            </w:r>
            <w:r>
              <w:rPr>
                <w:rFonts w:hint="eastAsia" w:ascii="宋体" w:hAnsi="宋体" w:cs="宋体"/>
                <w:bCs/>
                <w:lang w:val="en-US" w:eastAsia="zh-CN"/>
              </w:rPr>
              <w:t>现有员工22人，目前经营良好</w:t>
            </w:r>
            <w:r>
              <w:rPr>
                <w:rFonts w:hint="eastAsia"/>
                <w:szCs w:val="21"/>
              </w:rPr>
              <w:t>。</w:t>
            </w:r>
          </w:p>
          <w:p>
            <w:pPr>
              <w:pStyle w:val="10"/>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10"/>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二</w:t>
            </w:r>
            <w:r>
              <w:rPr>
                <w:rFonts w:hint="eastAsia" w:ascii="宋体" w:hAnsi="宋体"/>
                <w:szCs w:val="21"/>
              </w:rPr>
              <w:t>个部门：</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经营部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重庆市南岸区腾龙大道46号12-15</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color w:val="000000"/>
                <w:szCs w:val="21"/>
              </w:rPr>
            </w:pPr>
            <w:bookmarkStart w:id="1" w:name="审核范围"/>
            <w:r>
              <w:rPr>
                <w:rFonts w:hint="eastAsia" w:ascii="宋体" w:hAnsi="宋体"/>
                <w:szCs w:val="21"/>
              </w:rPr>
              <w:t>Q：交通工程材料、金属制品（不含稀贵金属）、不锈钢制品的销售</w:t>
            </w:r>
          </w:p>
          <w:p>
            <w:pPr>
              <w:rPr>
                <w:rFonts w:hint="eastAsia" w:ascii="宋体" w:hAnsi="宋体"/>
                <w:szCs w:val="21"/>
              </w:rPr>
            </w:pPr>
            <w:r>
              <w:rPr>
                <w:rFonts w:hint="eastAsia" w:ascii="宋体" w:hAnsi="宋体"/>
                <w:szCs w:val="21"/>
              </w:rPr>
              <w:t>E：交通工程材料、金属制品（不含稀贵金属）、不锈钢制品的销售所涉及的相关环境管理活动</w:t>
            </w:r>
          </w:p>
          <w:p>
            <w:pPr>
              <w:rPr>
                <w:rFonts w:ascii="宋体" w:hAnsi="宋体"/>
                <w:szCs w:val="21"/>
              </w:rPr>
            </w:pPr>
            <w:r>
              <w:rPr>
                <w:rFonts w:hint="eastAsia" w:ascii="宋体" w:hAnsi="宋体"/>
                <w:szCs w:val="21"/>
              </w:rPr>
              <w:t>O：交通工程材料、金属制品（不含稀贵金属）、不锈钢制品的销售所涉及的相关职业健康安全管理活动</w:t>
            </w:r>
            <w:bookmarkEnd w:id="1"/>
            <w:r>
              <w:rPr>
                <w:rFonts w:hint="eastAsia" w:ascii="宋体" w:hAnsi="宋体"/>
                <w:szCs w:val="21"/>
              </w:rPr>
              <w:t xml:space="preserve"> 。</w:t>
            </w:r>
          </w:p>
          <w:p>
            <w:pPr>
              <w:rPr>
                <w:rFonts w:ascii="宋体" w:hAnsi="宋体"/>
                <w:color w:val="FF0000"/>
                <w:szCs w:val="21"/>
              </w:rPr>
            </w:pPr>
            <w:r>
              <w:rPr>
                <w:rFonts w:hint="eastAsia" w:ascii="宋体" w:hAnsi="宋体"/>
                <w:szCs w:val="21"/>
              </w:rPr>
              <w:t>   询问，主要设备为</w:t>
            </w:r>
            <w:r>
              <w:rPr>
                <w:rFonts w:hint="eastAsia" w:ascii="宋体" w:hAnsi="宋体" w:cs="宋体"/>
                <w:color w:val="000000"/>
                <w:szCs w:val="21"/>
              </w:rPr>
              <w:t>电脑及办公设备</w:t>
            </w:r>
            <w:r>
              <w:rPr>
                <w:rFonts w:hint="eastAsia" w:ascii="宋体" w:hAnsi="宋体"/>
                <w:szCs w:val="21"/>
              </w:rPr>
              <w:t>等</w:t>
            </w:r>
            <w:r>
              <w:rPr>
                <w:rFonts w:hint="eastAsia" w:ascii="宋体" w:hAnsi="宋体" w:cs="宋体"/>
                <w:kern w:val="0"/>
                <w:szCs w:val="21"/>
              </w:rPr>
              <w:t>。</w:t>
            </w:r>
          </w:p>
          <w:p>
            <w:pPr>
              <w:spacing w:line="400" w:lineRule="exact"/>
              <w:jc w:val="left"/>
              <w:rPr>
                <w:rFonts w:ascii="宋体" w:hAnsi="宋体"/>
                <w:szCs w:val="21"/>
              </w:rPr>
            </w:pPr>
            <w:r>
              <w:rPr>
                <w:rFonts w:hint="eastAsia" w:ascii="宋体" w:hAnsi="宋体"/>
                <w:szCs w:val="21"/>
              </w:rPr>
              <w:t>关键过程：销售为关键过程。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4月1日</w:t>
            </w:r>
            <w:r>
              <w:rPr>
                <w:rFonts w:hint="eastAsia" w:ascii="宋体" w:hAnsi="宋体" w:cs="宋体"/>
                <w:szCs w:val="21"/>
              </w:rPr>
              <w:t>。</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经营部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27</w:t>
            </w:r>
            <w:r>
              <w:rPr>
                <w:rFonts w:hint="eastAsia" w:ascii="宋体" w:hAnsi="宋体"/>
                <w:kern w:val="44"/>
                <w:szCs w:val="21"/>
              </w:rPr>
              <w:t>个。</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诚信至上，质量为主，优质高效；节能降耗，防治污染，保护环境；安全第一，保障健康，减少风险；</w:t>
            </w:r>
          </w:p>
          <w:p>
            <w:pPr>
              <w:rPr>
                <w:rFonts w:hint="eastAsia" w:ascii="宋体" w:hAnsi="宋体"/>
                <w:b w:val="0"/>
                <w:bCs w:val="0"/>
                <w:sz w:val="21"/>
                <w:szCs w:val="21"/>
              </w:rPr>
            </w:pPr>
            <w:r>
              <w:rPr>
                <w:rFonts w:hint="eastAsia" w:asciiTheme="minorEastAsia" w:hAnsiTheme="minorEastAsia" w:eastAsiaTheme="minorEastAsia" w:cstheme="minorEastAsia"/>
                <w:szCs w:val="21"/>
              </w:rPr>
              <w:t>全员参与，遵守法规，持续改进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pStyle w:val="10"/>
              <w:rPr>
                <w:rFonts w:hint="eastAsia"/>
                <w:lang w:eastAsia="zh-CN"/>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1、质量目标：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a)销售产品合格率：100%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 产品按期交付率≥98%；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c)客户满意度95分以上</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2、环境、职业健康安全目标： </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a)重大火灾事故为0</w:t>
            </w:r>
            <w:r>
              <w:rPr>
                <w:rFonts w:hint="eastAsia" w:asciiTheme="minorEastAsia" w:hAnsiTheme="minorEastAsia" w:eastAsiaTheme="minorEastAsia" w:cstheme="minorEastAsia"/>
                <w:szCs w:val="21"/>
                <w:lang w:eastAsia="zh-CN"/>
              </w:rPr>
              <w:t>；</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b)固体废弃物处置率100%</w:t>
            </w:r>
            <w:r>
              <w:rPr>
                <w:rFonts w:hint="eastAsia" w:asciiTheme="minorEastAsia" w:hAnsiTheme="minorEastAsia" w:eastAsiaTheme="minorEastAsia" w:cstheme="minorEastAsia"/>
                <w:szCs w:val="21"/>
                <w:lang w:eastAsia="zh-CN"/>
              </w:rPr>
              <w:t>；</w:t>
            </w:r>
          </w:p>
          <w:p>
            <w:pPr>
              <w:pStyle w:val="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C）意外交通伤害为0 。</w:t>
            </w:r>
          </w:p>
          <w:p>
            <w:pPr>
              <w:tabs>
                <w:tab w:val="left" w:pos="3731"/>
              </w:tabs>
              <w:adjustRightInd w:val="0"/>
              <w:snapToGrid w:val="0"/>
              <w:spacing w:line="312" w:lineRule="auto"/>
              <w:rPr>
                <w:rFonts w:ascii="宋体" w:hAnsi="宋体"/>
                <w:szCs w:val="21"/>
              </w:rPr>
            </w:pPr>
            <w:r>
              <w:rPr>
                <w:rFonts w:hint="eastAsia" w:ascii="宋体" w:hAnsi="宋体"/>
                <w:color w:val="000000"/>
                <w:sz w:val="21"/>
                <w:szCs w:val="21"/>
              </w:rPr>
              <w:t> </w:t>
            </w:r>
            <w:r>
              <w:rPr>
                <w:rFonts w:hint="eastAsia" w:asciiTheme="minorEastAsia" w:hAnsiTheme="minorEastAsia" w:eastAsiaTheme="minorEastAsia" w:cstheme="minorEastAsia"/>
                <w:szCs w:val="21"/>
              </w:rPr>
              <w:t>拟定有管理方案和预案。</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szCs w:val="21"/>
                <w:lang w:val="en-US" w:eastAsia="zh-CN"/>
              </w:rPr>
            </w:pPr>
            <w:r>
              <w:rPr>
                <w:rFonts w:hint="eastAsia" w:ascii="宋体" w:hAnsi="宋体"/>
                <w:szCs w:val="21"/>
              </w:rPr>
              <w:t>内审时间：2020年8月16日-17日</w:t>
            </w:r>
          </w:p>
          <w:p>
            <w:pPr>
              <w:spacing w:line="400" w:lineRule="exact"/>
              <w:rPr>
                <w:szCs w:val="21"/>
              </w:rPr>
            </w:pPr>
            <w:r>
              <w:rPr>
                <w:rFonts w:hint="eastAsia" w:ascii="宋体" w:hAnsi="宋体"/>
                <w:szCs w:val="21"/>
              </w:rPr>
              <w:t>内审组：</w:t>
            </w:r>
            <w:r>
              <w:rPr>
                <w:rFonts w:hint="eastAsia" w:ascii="宋体" w:hAnsi="宋体"/>
                <w:szCs w:val="21"/>
                <w:lang w:eastAsia="zh-CN"/>
              </w:rPr>
              <w:t>林立杰（组长）、</w:t>
            </w:r>
            <w:r>
              <w:rPr>
                <w:rFonts w:hint="eastAsia" w:ascii="宋体" w:hAnsi="宋体"/>
                <w:szCs w:val="21"/>
              </w:rPr>
              <w:t xml:space="preserve"> 华洋</w:t>
            </w:r>
            <w:r>
              <w:rPr>
                <w:rFonts w:hint="eastAsia" w:ascii="宋体" w:hAnsi="宋体"/>
                <w:szCs w:val="21"/>
                <w:lang w:eastAsia="zh-CN"/>
              </w:rPr>
              <w:t>（组员）</w:t>
            </w:r>
            <w:r>
              <w:rPr>
                <w:rFonts w:hint="eastAsia"/>
                <w:sz w:val="21"/>
                <w:szCs w:val="21"/>
              </w:rPr>
              <w:t>。</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2</w:t>
            </w:r>
            <w:r>
              <w:rPr>
                <w:rFonts w:hint="eastAsia" w:ascii="宋体" w:hAnsi="宋体"/>
                <w:szCs w:val="21"/>
              </w:rPr>
              <w:t>份，</w:t>
            </w:r>
            <w:r>
              <w:rPr>
                <w:rFonts w:hint="eastAsia" w:ascii="宋体" w:hAnsi="宋体"/>
                <w:szCs w:val="21"/>
                <w:lang w:val="en-US" w:eastAsia="zh-CN"/>
              </w:rPr>
              <w:t>分别</w:t>
            </w:r>
            <w:r>
              <w:rPr>
                <w:rFonts w:hint="eastAsia" w:ascii="宋体" w:hAnsi="宋体"/>
                <w:szCs w:val="21"/>
              </w:rPr>
              <w:t>涉及</w:t>
            </w:r>
            <w:r>
              <w:rPr>
                <w:rFonts w:hint="eastAsia" w:ascii="宋体" w:hAnsi="宋体"/>
                <w:szCs w:val="21"/>
                <w:lang w:eastAsia="zh-CN"/>
              </w:rPr>
              <w:t>综合部</w:t>
            </w:r>
            <w:r>
              <w:rPr>
                <w:rFonts w:hint="eastAsia" w:ascii="宋体" w:hAnsi="宋体"/>
                <w:szCs w:val="21"/>
              </w:rPr>
              <w:t>GB/T24001-2016/ISO45001:2018标准8.2条款</w:t>
            </w:r>
            <w:r>
              <w:rPr>
                <w:rFonts w:hint="eastAsia" w:ascii="宋体" w:hAnsi="宋体"/>
                <w:szCs w:val="21"/>
                <w:lang w:val="en-US" w:eastAsia="zh-CN"/>
              </w:rPr>
              <w:t>和</w:t>
            </w:r>
            <w:r>
              <w:rPr>
                <w:rFonts w:hint="eastAsia" w:ascii="宋体" w:hAnsi="宋体"/>
                <w:szCs w:val="21"/>
              </w:rPr>
              <w:t>经营部ISO9001：2015标准  9.1.2</w:t>
            </w:r>
            <w:r>
              <w:rPr>
                <w:rFonts w:hint="eastAsia" w:ascii="宋体" w:hAnsi="宋体"/>
                <w:szCs w:val="21"/>
                <w:lang w:val="en-US" w:eastAsia="zh-CN"/>
              </w:rPr>
              <w:t>条款</w:t>
            </w:r>
            <w:r>
              <w:rPr>
                <w:rFonts w:hint="eastAsia" w:ascii="宋体" w:hAnsi="宋体"/>
                <w:szCs w:val="21"/>
              </w:rPr>
              <w:t xml:space="preserve"> </w:t>
            </w:r>
            <w:r>
              <w:rPr>
                <w:rFonts w:hint="eastAsia" w:ascii="宋体" w:hAnsi="宋体"/>
                <w:szCs w:val="21"/>
                <w:lang w:val="en-US" w:eastAsia="zh-CN"/>
              </w:rPr>
              <w:t>抽查文件发放</w:t>
            </w:r>
            <w:r>
              <w:rPr>
                <w:rFonts w:hint="eastAsia" w:ascii="宋体" w:hAnsi="宋体" w:cs="Times New Roman"/>
                <w:szCs w:val="21"/>
                <w:lang w:val="en-US" w:eastAsia="zh-CN"/>
              </w:rPr>
              <w:t>记录，未查见2020年6月更新后的法律法规文件的发放记录</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400" w:lineRule="exact"/>
              <w:rPr>
                <w:rFonts w:hint="eastAsia" w:ascii="宋体" w:hAnsi="宋体" w:cs="Times New Roman"/>
                <w:szCs w:val="21"/>
                <w:lang w:val="en-US" w:eastAsia="zh-CN"/>
              </w:rPr>
            </w:pPr>
            <w:r>
              <w:rPr>
                <w:rFonts w:hint="eastAsia" w:ascii="宋体" w:hAnsi="宋体" w:cs="Times New Roman"/>
                <w:szCs w:val="21"/>
                <w:lang w:val="en-US" w:eastAsia="zh-CN"/>
              </w:rPr>
              <w:t>管理评审于2020年8月25日由总经理吴启洪主持完成。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kern w:val="0"/>
                <w:sz w:val="21"/>
                <w:szCs w:val="21"/>
              </w:rPr>
            </w:pPr>
          </w:p>
          <w:p>
            <w:pPr>
              <w:spacing w:line="460" w:lineRule="exact"/>
              <w:ind w:firstLine="420" w:firstLineChars="200"/>
              <w:rPr>
                <w:rFonts w:hint="eastAsia" w:ascii="宋体" w:hAnsi="宋体"/>
                <w:sz w:val="21"/>
                <w:szCs w:val="21"/>
              </w:rPr>
            </w:pPr>
            <w:r>
              <w:rPr>
                <w:rFonts w:hint="eastAsia" w:ascii="宋体" w:hAnsi="宋体"/>
                <w:kern w:val="0"/>
                <w:sz w:val="21"/>
                <w:szCs w:val="21"/>
              </w:rPr>
              <w:t>提出以下改进内容：</w:t>
            </w:r>
            <w:r>
              <w:rPr>
                <w:rFonts w:hint="eastAsia" w:ascii="宋体" w:hAnsi="宋体"/>
                <w:szCs w:val="21"/>
                <w:lang w:val="en-US" w:eastAsia="zh-CN"/>
              </w:rPr>
              <w:t>我公司三标准运行时间较短，有关人员对标准的理解不够深刻，现要求各部门领导和相关人员要进一步学习标准及管理手册，特别是质量体系的学习,严格按照体系要求办事</w:t>
            </w:r>
            <w:r>
              <w:rPr>
                <w:rFonts w:hint="eastAsia" w:ascii="宋体" w:hAnsi="宋体"/>
                <w:sz w:val="21"/>
                <w:szCs w:val="21"/>
              </w:rPr>
              <w:t>。</w:t>
            </w:r>
          </w:p>
          <w:p>
            <w:pPr>
              <w:spacing w:line="460" w:lineRule="exact"/>
              <w:rPr>
                <w:rFonts w:ascii="宋体" w:hAnsi="宋体"/>
                <w:kern w:val="0"/>
                <w:szCs w:val="21"/>
                <w:u w:val="single"/>
              </w:rPr>
            </w:pP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szCs w:val="21"/>
                <w:highlight w:val="none"/>
              </w:rPr>
            </w:pPr>
            <w:r>
              <w:rPr>
                <w:rFonts w:hint="eastAsia"/>
                <w:szCs w:val="21"/>
                <w:highlight w:val="none"/>
              </w:rPr>
              <w:t>安评报告及安评验收</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执行的产品标准（QMS）</w:t>
            </w:r>
          </w:p>
          <w:p>
            <w:pPr>
              <w:spacing w:line="400" w:lineRule="exact"/>
              <w:rPr>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 xml:space="preserve">合规性评价报告 </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环境相关监测报告（EMS）</w:t>
            </w:r>
          </w:p>
          <w:p>
            <w:pPr>
              <w:spacing w:line="400" w:lineRule="exact"/>
              <w:rPr>
                <w:szCs w:val="21"/>
                <w:highlight w:val="none"/>
              </w:rPr>
            </w:pPr>
            <w:r>
              <w:rPr>
                <w:rFonts w:hint="eastAsia"/>
                <w:szCs w:val="21"/>
                <w:highlight w:val="none"/>
              </w:rPr>
              <w:t>职业健康相关监测报告（OHSMS）</w:t>
            </w:r>
          </w:p>
          <w:p>
            <w:pPr>
              <w:spacing w:line="400" w:lineRule="exact"/>
              <w:rPr>
                <w:rFonts w:ascii="宋体" w:hAnsi="宋体" w:eastAsia="宋体" w:cs="Times New Roman"/>
                <w:kern w:val="2"/>
                <w:sz w:val="21"/>
                <w:szCs w:val="21"/>
                <w:highlight w:val="none"/>
                <w:lang w:val="en-US" w:eastAsia="zh-CN" w:bidi="ar-SA"/>
              </w:rPr>
            </w:pPr>
            <w:r>
              <w:rPr>
                <w:rFonts w:hint="eastAsia"/>
                <w:szCs w:val="21"/>
                <w:highlight w:val="none"/>
              </w:rPr>
              <w:t>产品质量监督抽查情况（QMS）</w:t>
            </w:r>
          </w:p>
        </w:tc>
        <w:tc>
          <w:tcPr>
            <w:tcW w:w="9636" w:type="dxa"/>
            <w:vAlign w:val="top"/>
          </w:tcPr>
          <w:p>
            <w:pPr>
              <w:spacing w:line="400" w:lineRule="exact"/>
              <w:rPr>
                <w:rFonts w:hint="eastAsia" w:ascii="宋体" w:hAnsi="宋体" w:eastAsia="宋体"/>
                <w:szCs w:val="21"/>
                <w:highlight w:val="none"/>
                <w:lang w:eastAsia="zh-CN"/>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r>
              <w:rPr>
                <w:rFonts w:hint="eastAsia" w:ascii="宋体" w:hAnsi="宋体"/>
                <w:szCs w:val="21"/>
                <w:highlight w:val="none"/>
                <w:lang w:eastAsia="zh-CN"/>
              </w:rPr>
              <w:t>。</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rFonts w:ascii="宋体" w:hAnsi="宋体"/>
                <w:szCs w:val="21"/>
                <w:highlight w:val="none"/>
              </w:rPr>
            </w:pPr>
            <w:r>
              <w:rPr>
                <w:rFonts w:hint="eastAsia" w:ascii="宋体" w:hAnsi="宋体"/>
                <w:szCs w:val="21"/>
                <w:highlight w:val="none"/>
              </w:rPr>
              <w:t>不适用</w:t>
            </w:r>
          </w:p>
          <w:p>
            <w:pPr>
              <w:pStyle w:val="3"/>
              <w:keepNext w:val="0"/>
              <w:keepLines w:val="0"/>
              <w:widowControl/>
              <w:suppressLineNumbers w:val="0"/>
              <w:shd w:val="clear" w:color="auto" w:fill="FFFFFF"/>
              <w:ind w:left="0" w:firstLine="0"/>
              <w:rPr>
                <w:rFonts w:hint="default"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《公路交通安全设施技术规范》JTGD81-2017、《隔离栅》GB/T 26941-2011、《隔离栅 第2部分：立柱、斜撑和门》GB/T 26941.2-2011、《钢结构设计规范》GB5007-2003、《铝及铝合金轧制板材》GB/T3880-2006、《结构用无缝钢管》GB/T8162-2008、合同协议等。</w:t>
            </w:r>
          </w:p>
          <w:p>
            <w:pPr>
              <w:rPr>
                <w:rFonts w:ascii="宋体" w:hAnsi="宋体"/>
                <w:szCs w:val="21"/>
                <w:highlight w:val="none"/>
              </w:rPr>
            </w:pPr>
          </w:p>
          <w:p>
            <w:pPr>
              <w:rPr>
                <w:rFonts w:hint="eastAsia" w:ascii="宋体" w:hAnsi="宋体" w:eastAsia="宋体"/>
                <w:szCs w:val="21"/>
                <w:highlight w:val="none"/>
                <w:lang w:eastAsia="zh-CN"/>
              </w:rPr>
            </w:pP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r>
              <w:rPr>
                <w:rFonts w:hint="eastAsia" w:ascii="宋体" w:hAnsi="宋体"/>
                <w:szCs w:val="21"/>
                <w:highlight w:val="none"/>
                <w:lang w:eastAsia="zh-CN"/>
              </w:rPr>
              <w:t>、</w:t>
            </w:r>
          </w:p>
          <w:p>
            <w:pPr>
              <w:rPr>
                <w:rFonts w:ascii="宋体" w:hAnsi="宋体"/>
                <w:szCs w:val="21"/>
                <w:highlight w:val="none"/>
              </w:rPr>
            </w:pPr>
          </w:p>
          <w:p>
            <w:pPr>
              <w:spacing w:line="400" w:lineRule="exact"/>
              <w:rPr>
                <w:rFonts w:hint="eastAsia" w:eastAsia="宋体"/>
                <w:szCs w:val="21"/>
                <w:highlight w:val="none"/>
                <w:lang w:eastAsia="zh-CN"/>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r>
              <w:rPr>
                <w:rFonts w:hint="eastAsia" w:ascii="宋体" w:hAnsi="宋体" w:cs="宋体"/>
                <w:color w:val="000000"/>
                <w:szCs w:val="21"/>
                <w:highlight w:val="none"/>
                <w:lang w:eastAsia="zh-CN"/>
              </w:rPr>
              <w:t>。</w:t>
            </w:r>
          </w:p>
          <w:p>
            <w:pPr>
              <w:spacing w:line="400" w:lineRule="exact"/>
              <w:rPr>
                <w:szCs w:val="21"/>
                <w:highlight w:val="none"/>
              </w:rPr>
            </w:pPr>
          </w:p>
          <w:p>
            <w:pPr>
              <w:spacing w:line="400" w:lineRule="exact"/>
              <w:rPr>
                <w:szCs w:val="21"/>
                <w:highlight w:val="none"/>
              </w:rPr>
            </w:pPr>
            <w:r>
              <w:rPr>
                <w:rFonts w:hint="eastAsia"/>
                <w:szCs w:val="21"/>
                <w:highlight w:val="none"/>
              </w:rPr>
              <w:t>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8</w:t>
            </w:r>
            <w:r>
              <w:rPr>
                <w:rFonts w:hint="eastAsia"/>
                <w:szCs w:val="21"/>
                <w:highlight w:val="none"/>
              </w:rPr>
              <w:t>月</w:t>
            </w:r>
            <w:r>
              <w:rPr>
                <w:rFonts w:hint="eastAsia"/>
                <w:szCs w:val="21"/>
                <w:highlight w:val="none"/>
                <w:lang w:val="en-US" w:eastAsia="zh-CN"/>
              </w:rPr>
              <w:t>8</w:t>
            </w:r>
            <w:r>
              <w:rPr>
                <w:rFonts w:hint="eastAsia"/>
                <w:szCs w:val="21"/>
                <w:highlight w:val="none"/>
              </w:rPr>
              <w:t>日进行了合规性评价</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无</w:t>
            </w:r>
          </w:p>
          <w:p>
            <w:pPr>
              <w:spacing w:line="400" w:lineRule="exact"/>
              <w:rPr>
                <w:szCs w:val="21"/>
                <w:highlight w:val="none"/>
              </w:rPr>
            </w:pPr>
            <w:r>
              <w:rPr>
                <w:rFonts w:hint="eastAsia"/>
                <w:szCs w:val="21"/>
                <w:highlight w:val="none"/>
              </w:rPr>
              <w:t>无</w:t>
            </w:r>
          </w:p>
          <w:p>
            <w:pPr>
              <w:spacing w:line="400" w:lineRule="exact"/>
              <w:rPr>
                <w:rFonts w:ascii="宋体" w:hAnsi="宋体" w:eastAsia="宋体" w:cs="Times New Roman"/>
                <w:kern w:val="2"/>
                <w:sz w:val="21"/>
                <w:szCs w:val="21"/>
                <w:highlight w:val="none"/>
                <w:lang w:val="en-US" w:eastAsia="zh-CN" w:bidi="ar-SA"/>
              </w:rPr>
            </w:pPr>
            <w:r>
              <w:rPr>
                <w:rFonts w:hint="eastAsia"/>
                <w:szCs w:val="21"/>
                <w:highlight w:val="none"/>
              </w:rPr>
              <w:t>无质量监督抽查</w:t>
            </w:r>
            <w:r>
              <w:rPr>
                <w:rFonts w:hint="eastAsia"/>
                <w:szCs w:val="21"/>
                <w:highlight w:val="none"/>
                <w:lang w:eastAsia="zh-CN"/>
              </w:rPr>
              <w:t>，</w:t>
            </w:r>
            <w:r>
              <w:rPr>
                <w:rFonts w:hint="eastAsia"/>
                <w:szCs w:val="21"/>
                <w:highlight w:val="none"/>
                <w:lang w:val="en-US" w:eastAsia="zh-CN"/>
              </w:rPr>
              <w:t>企业提供有2018年9月（有效期至2020年9月30日）</w:t>
            </w:r>
            <w:r>
              <w:rPr>
                <w:rFonts w:hint="eastAsia" w:ascii="宋体" w:hAnsi="宋体"/>
                <w:szCs w:val="21"/>
              </w:rPr>
              <w:t>交通工程材料</w:t>
            </w:r>
            <w:r>
              <w:rPr>
                <w:rFonts w:hint="eastAsia" w:ascii="宋体" w:hAnsi="宋体"/>
                <w:szCs w:val="21"/>
                <w:lang w:val="en-US" w:eastAsia="zh-CN"/>
              </w:rPr>
              <w:t>委托检测报告</w:t>
            </w:r>
            <w:r>
              <w:rPr>
                <w:rFonts w:hint="eastAsia"/>
                <w:szCs w:val="21"/>
                <w:highlight w:val="none"/>
                <w:lang w:val="en-US" w:eastAsia="zh-CN"/>
              </w:rPr>
              <w:t>和2020年9月（已送检、报告还未取，有材料委托检验协议书、样品封样单）</w:t>
            </w:r>
            <w:r>
              <w:rPr>
                <w:rFonts w:hint="eastAsia" w:ascii="宋体" w:hAnsi="宋体"/>
                <w:szCs w:val="21"/>
              </w:rPr>
              <w:t>交通工程材料</w:t>
            </w:r>
            <w:r>
              <w:rPr>
                <w:rFonts w:hint="eastAsia" w:ascii="宋体" w:hAnsi="宋体"/>
                <w:szCs w:val="21"/>
                <w:lang w:val="en-US" w:eastAsia="zh-CN"/>
              </w:rPr>
              <w:t>委托检测，见附件</w:t>
            </w:r>
            <w:r>
              <w:rPr>
                <w:rFonts w:hint="eastAsia"/>
                <w:szCs w:val="21"/>
                <w:highlight w:val="none"/>
              </w:rPr>
              <w:t>。</w:t>
            </w:r>
          </w:p>
        </w:tc>
        <w:tc>
          <w:tcPr>
            <w:tcW w:w="982" w:type="dxa"/>
            <w:vAlign w:val="top"/>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796" w:type="dxa"/>
            <w:vAlign w:val="top"/>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rPr>
                <w:lang w:val="en-US" w:eastAsia="zh-CN"/>
              </w:rPr>
            </w:pPr>
          </w:p>
          <w:p>
            <w:pPr>
              <w:pStyle w:val="2"/>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应急管理</w:t>
            </w:r>
          </w:p>
        </w:tc>
        <w:tc>
          <w:tcPr>
            <w:tcW w:w="9636" w:type="dxa"/>
            <w:vAlign w:val="top"/>
          </w:tcPr>
          <w:p>
            <w:pPr>
              <w:rPr>
                <w:rFonts w:ascii="宋体" w:hAnsi="宋体"/>
                <w:szCs w:val="21"/>
                <w:highlight w:val="none"/>
              </w:rPr>
            </w:pPr>
            <w:r>
              <w:rPr>
                <w:rFonts w:hint="eastAsia" w:ascii="宋体" w:hAnsi="宋体"/>
                <w:szCs w:val="21"/>
                <w:highlight w:val="none"/>
              </w:rPr>
              <w:t>销售</w:t>
            </w:r>
            <w:r>
              <w:rPr>
                <w:rFonts w:hint="eastAsia" w:ascii="宋体" w:hAnsi="宋体"/>
                <w:szCs w:val="21"/>
                <w:highlight w:val="none"/>
                <w:lang w:eastAsia="zh-CN"/>
              </w:rPr>
              <w:t>流程</w:t>
            </w:r>
            <w:r>
              <w:rPr>
                <w:rFonts w:hint="eastAsia" w:ascii="宋体" w:hAnsi="宋体"/>
                <w:szCs w:val="21"/>
                <w:highlight w:val="none"/>
              </w:rPr>
              <w:t>：</w:t>
            </w:r>
          </w:p>
          <w:p>
            <w:pPr>
              <w:tabs>
                <w:tab w:val="left" w:pos="2385"/>
              </w:tabs>
              <w:spacing w:line="360" w:lineRule="auto"/>
              <w:rPr>
                <w:rFonts w:hint="eastAsia" w:ascii="宋体" w:hAnsi="宋体" w:cs="Times New Roman"/>
                <w:szCs w:val="21"/>
                <w:highlight w:val="none"/>
                <w:lang w:eastAsia="zh-CN"/>
              </w:rPr>
            </w:pPr>
            <w:r>
              <w:rPr>
                <w:rFonts w:hint="eastAsia" w:ascii="宋体" w:hAnsi="宋体"/>
                <w:bCs/>
              </w:rPr>
              <w:t>联系客户—业务洽谈—合同签订—采购产品—检验—产品销售—客户签收—售后服务</w:t>
            </w:r>
            <w:r>
              <w:rPr>
                <w:rFonts w:hint="eastAsia" w:ascii="宋体" w:hAnsi="宋体" w:cs="Times New Roman"/>
                <w:szCs w:val="21"/>
                <w:highlight w:val="none"/>
                <w:lang w:eastAsia="zh-CN"/>
              </w:rPr>
              <w:t>。</w:t>
            </w:r>
          </w:p>
          <w:p>
            <w:pPr>
              <w:rPr>
                <w:rFonts w:ascii="宋体" w:hAnsi="宋体"/>
                <w:szCs w:val="21"/>
                <w:highlight w:val="none"/>
              </w:rPr>
            </w:pPr>
            <w:r>
              <w:rPr>
                <w:rFonts w:hint="eastAsia" w:ascii="宋体" w:hAnsi="宋体"/>
                <w:szCs w:val="21"/>
                <w:highlight w:val="none"/>
              </w:rPr>
              <w:t>需确认过程：销售过程</w:t>
            </w:r>
            <w:r>
              <w:rPr>
                <w:rFonts w:hint="eastAsia" w:ascii="宋体" w:hAnsi="宋体" w:cs="宋体"/>
                <w:szCs w:val="21"/>
                <w:highlight w:val="none"/>
                <w:lang w:eastAsia="zh-CN"/>
              </w:rPr>
              <w:t>，也是关键过程。</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rPr>
              <w:t>Q8.3条款</w:t>
            </w:r>
            <w:r>
              <w:rPr>
                <w:rFonts w:hint="eastAsia" w:ascii="宋体" w:hAnsi="宋体"/>
                <w:szCs w:val="21"/>
                <w:lang w:eastAsia="zh-CN"/>
              </w:rPr>
              <w:t>，</w:t>
            </w:r>
            <w:r>
              <w:rPr>
                <w:rFonts w:hint="eastAsia" w:ascii="宋体" w:hAnsi="宋体"/>
                <w:sz w:val="21"/>
                <w:szCs w:val="21"/>
              </w:rPr>
              <w:t>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highlight w:val="none"/>
              </w:rPr>
            </w:pPr>
            <w:r>
              <w:rPr>
                <w:rFonts w:hint="eastAsia" w:ascii="宋体" w:hAnsi="宋体"/>
                <w:szCs w:val="21"/>
                <w:highlight w:val="none"/>
              </w:rPr>
              <w:t>无</w:t>
            </w:r>
          </w:p>
          <w:p>
            <w:pPr>
              <w:tabs>
                <w:tab w:val="left" w:pos="1080"/>
              </w:tabs>
              <w:spacing w:line="400" w:lineRule="exact"/>
              <w:rPr>
                <w:rFonts w:ascii="宋体" w:hAnsi="宋体"/>
                <w:szCs w:val="21"/>
                <w:highlight w:val="none"/>
              </w:rPr>
            </w:pPr>
            <w:r>
              <w:rPr>
                <w:rFonts w:hint="eastAsia" w:ascii="宋体" w:hAnsi="宋体"/>
                <w:szCs w:val="21"/>
                <w:highlight w:val="none"/>
              </w:rPr>
              <w:t>潜在火灾、固废排放。</w:t>
            </w:r>
          </w:p>
          <w:p>
            <w:pPr>
              <w:tabs>
                <w:tab w:val="left" w:pos="1080"/>
              </w:tabs>
              <w:spacing w:line="400" w:lineRule="exact"/>
              <w:rPr>
                <w:rFonts w:ascii="宋体" w:hAnsi="宋体"/>
                <w:color w:val="FF0000"/>
                <w:szCs w:val="21"/>
                <w:highlight w:val="none"/>
              </w:rPr>
            </w:pPr>
            <w:r>
              <w:rPr>
                <w:rFonts w:hint="eastAsia" w:ascii="宋体" w:hAnsi="宋体"/>
                <w:szCs w:val="21"/>
                <w:highlight w:val="none"/>
              </w:rPr>
              <w:t>火灾、触电</w:t>
            </w:r>
            <w:r>
              <w:rPr>
                <w:rFonts w:hint="eastAsia" w:ascii="宋体" w:hAnsi="宋体"/>
                <w:szCs w:val="21"/>
                <w:highlight w:val="none"/>
                <w:lang w:eastAsia="zh-CN"/>
              </w:rPr>
              <w:t>、</w:t>
            </w:r>
            <w:r>
              <w:rPr>
                <w:rFonts w:hint="eastAsia" w:ascii="宋体" w:hAnsi="宋体"/>
                <w:szCs w:val="21"/>
                <w:highlight w:val="none"/>
                <w:lang w:val="en-US" w:eastAsia="zh-CN"/>
              </w:rPr>
              <w:t>意外交通伤害</w:t>
            </w:r>
            <w:r>
              <w:rPr>
                <w:rFonts w:hint="eastAsia" w:ascii="宋体" w:hAnsi="宋体"/>
                <w:color w:val="FF0000"/>
                <w:szCs w:val="21"/>
                <w:highlight w:val="none"/>
              </w:rPr>
              <w:t>。</w:t>
            </w:r>
          </w:p>
          <w:p>
            <w:pPr>
              <w:tabs>
                <w:tab w:val="left" w:pos="1080"/>
              </w:tabs>
              <w:spacing w:line="400" w:lineRule="exact"/>
              <w:rPr>
                <w:rFonts w:hint="eastAsia" w:ascii="宋体" w:hAnsi="宋体" w:eastAsia="宋体" w:cs="Times New Roman"/>
                <w:kern w:val="2"/>
                <w:sz w:val="21"/>
                <w:szCs w:val="21"/>
                <w:lang w:val="en-US" w:eastAsia="zh-CN" w:bidi="ar-SA"/>
              </w:rPr>
            </w:pPr>
            <w:r>
              <w:rPr>
                <w:rFonts w:hint="eastAsia" w:ascii="宋体" w:hAnsi="宋体"/>
                <w:szCs w:val="21"/>
                <w:highlight w:val="none"/>
              </w:rPr>
              <w:t>公司拟定有《火灾、触电应急预案》，20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日进行了消防演习演</w:t>
            </w:r>
            <w:r>
              <w:rPr>
                <w:rFonts w:hint="eastAsia" w:ascii="宋体" w:hAnsi="宋体"/>
                <w:szCs w:val="21"/>
                <w:highlight w:val="none"/>
                <w:lang w:val="en-US" w:eastAsia="zh-CN"/>
              </w:rPr>
              <w:t>练</w:t>
            </w:r>
            <w:r>
              <w:rPr>
                <w:rFonts w:hint="eastAsia" w:ascii="宋体" w:hAnsi="宋体"/>
                <w:szCs w:val="21"/>
                <w:highlight w:val="none"/>
              </w:rPr>
              <w:t>。</w:t>
            </w:r>
          </w:p>
        </w:tc>
        <w:tc>
          <w:tcPr>
            <w:tcW w:w="982" w:type="dxa"/>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spacing w:line="400" w:lineRule="exact"/>
              <w:rPr>
                <w:color w:val="000000"/>
              </w:rPr>
            </w:pPr>
            <w:r>
              <w:rPr>
                <w:rFonts w:hint="eastAsia"/>
                <w:color w:val="000000"/>
              </w:rPr>
              <w:t>无</w:t>
            </w:r>
          </w:p>
          <w:p>
            <w:pPr>
              <w:spacing w:line="400" w:lineRule="exact"/>
            </w:pPr>
            <w:r>
              <w:rPr>
                <w:rFonts w:hint="eastAsia"/>
                <w:lang w:val="en-US" w:eastAsia="zh-CN"/>
              </w:rPr>
              <w:t>小汽车（1辆、业务洽谈用）、</w:t>
            </w:r>
            <w:r>
              <w:rPr>
                <w:rFonts w:hint="eastAsia"/>
              </w:rPr>
              <w:t>办公</w:t>
            </w:r>
            <w:r>
              <w:rPr>
                <w:rFonts w:hint="eastAsia"/>
                <w:lang w:eastAsia="zh-CN"/>
              </w:rPr>
              <w:t>用品、</w:t>
            </w:r>
            <w:r>
              <w:rPr>
                <w:rFonts w:hint="eastAsia"/>
              </w:rPr>
              <w:t>辅料等。</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highlight w:val="none"/>
              </w:rPr>
            </w:pPr>
            <w:r>
              <w:rPr>
                <w:rFonts w:hint="eastAsia" w:ascii="宋体" w:hAnsi="宋体"/>
                <w:szCs w:val="21"/>
                <w:highlight w:val="none"/>
                <w:lang w:val="en-US" w:eastAsia="zh-CN"/>
              </w:rPr>
              <w:t>22</w:t>
            </w:r>
            <w:r>
              <w:rPr>
                <w:rFonts w:hint="eastAsia" w:ascii="宋体" w:hAnsi="宋体"/>
                <w:szCs w:val="21"/>
                <w:highlight w:val="none"/>
              </w:rPr>
              <w:t>人</w:t>
            </w:r>
          </w:p>
          <w:p>
            <w:pPr>
              <w:spacing w:line="400" w:lineRule="exact"/>
              <w:rPr>
                <w:rFonts w:ascii="宋体" w:hAnsi="宋体"/>
                <w:szCs w:val="21"/>
                <w:highlight w:val="none"/>
              </w:rPr>
            </w:pPr>
            <w:r>
              <w:rPr>
                <w:rFonts w:hint="eastAsia" w:ascii="宋体" w:hAnsi="宋体"/>
                <w:szCs w:val="21"/>
                <w:highlight w:val="none"/>
              </w:rPr>
              <w:t>销售人员。</w:t>
            </w:r>
          </w:p>
          <w:p>
            <w:pPr>
              <w:spacing w:line="400" w:lineRule="exact"/>
              <w:rPr>
                <w:rFonts w:hint="eastAsia" w:ascii="宋体" w:hAnsi="宋体" w:eastAsia="宋体"/>
                <w:szCs w:val="21"/>
                <w:lang w:eastAsia="zh-CN"/>
              </w:rPr>
            </w:pPr>
            <w:r>
              <w:rPr>
                <w:rFonts w:hint="eastAsia" w:ascii="宋体" w:hAnsi="宋体"/>
                <w:szCs w:val="21"/>
                <w:highlight w:val="none"/>
                <w:lang w:eastAsia="zh-CN"/>
              </w:rPr>
              <w:t>无</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Q/E/S:7.2</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tcPr>
          <w:p>
            <w:pPr>
              <w:spacing w:line="400" w:lineRule="exact"/>
              <w:rPr>
                <w:rFonts w:hint="eastAsia"/>
              </w:rPr>
            </w:pPr>
            <w:r>
              <w:rPr>
                <w:rFonts w:hint="eastAsia" w:ascii="宋体" w:hAnsi="宋体"/>
                <w:szCs w:val="21"/>
              </w:rPr>
              <w:t>主要生产设备</w:t>
            </w:r>
          </w:p>
          <w:p>
            <w:pPr>
              <w:pStyle w:val="10"/>
              <w:rPr>
                <w:rFonts w:hint="eastAsia" w:ascii="宋体" w:hAnsi="宋体" w:eastAsia="宋体" w:cs="Times New Roman"/>
                <w:color w:val="auto"/>
                <w:kern w:val="2"/>
                <w:sz w:val="21"/>
                <w:szCs w:val="21"/>
                <w:highlight w:val="none"/>
                <w:lang w:val="en-US" w:eastAsia="zh-CN" w:bidi="ar-SA"/>
              </w:rPr>
            </w:pPr>
          </w:p>
          <w:p>
            <w:pPr>
              <w:pStyle w:val="1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库房</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bookmarkStart w:id="2" w:name="_GoBack"/>
            <w:bookmarkEnd w:id="2"/>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636" w:type="dxa"/>
          </w:tcPr>
          <w:p>
            <w:pPr>
              <w:spacing w:line="400" w:lineRule="exact"/>
              <w:rPr>
                <w:rFonts w:hint="eastAsia" w:ascii="宋体" w:hAnsi="宋体"/>
                <w:szCs w:val="21"/>
                <w:highlight w:val="none"/>
              </w:rPr>
            </w:pPr>
            <w:r>
              <w:rPr>
                <w:rFonts w:hint="eastAsia" w:ascii="宋体" w:hAnsi="宋体" w:cs="宋体"/>
                <w:color w:val="000000"/>
                <w:szCs w:val="21"/>
                <w:highlight w:val="none"/>
              </w:rPr>
              <w:t>电脑及办公设备</w:t>
            </w:r>
            <w:r>
              <w:rPr>
                <w:rFonts w:hint="eastAsia" w:ascii="宋体" w:hAnsi="宋体"/>
                <w:szCs w:val="21"/>
                <w:highlight w:val="none"/>
              </w:rPr>
              <w:t>等。</w:t>
            </w:r>
          </w:p>
          <w:p>
            <w:pPr>
              <w:spacing w:line="400" w:lineRule="exact"/>
              <w:rPr>
                <w:rFonts w:hint="eastAsia" w:ascii="宋体" w:hAnsi="宋体"/>
                <w:szCs w:val="21"/>
                <w:highlight w:val="none"/>
                <w:lang w:eastAsia="zh-CN"/>
              </w:rPr>
            </w:pPr>
          </w:p>
          <w:p>
            <w:pPr>
              <w:spacing w:line="400" w:lineRule="exact"/>
              <w:rPr>
                <w:rFonts w:hint="eastAsia" w:ascii="宋体" w:hAnsi="宋体"/>
                <w:sz w:val="21"/>
                <w:szCs w:val="21"/>
                <w:highlight w:val="none"/>
                <w:lang w:eastAsia="zh-CN"/>
              </w:rPr>
            </w:pPr>
            <w:r>
              <w:rPr>
                <w:rFonts w:hint="eastAsia" w:ascii="宋体" w:hAnsi="宋体"/>
                <w:szCs w:val="21"/>
                <w:highlight w:val="none"/>
                <w:lang w:eastAsia="zh-CN"/>
              </w:rPr>
              <w:t>无库房</w:t>
            </w:r>
            <w:r>
              <w:rPr>
                <w:rFonts w:hint="eastAsia" w:ascii="宋体" w:hAnsi="宋体"/>
                <w:szCs w:val="21"/>
                <w:highlight w:val="none"/>
                <w:lang w:val="en-US" w:eastAsia="zh-CN"/>
              </w:rPr>
              <w:t>。</w:t>
            </w:r>
            <w:r>
              <w:rPr>
                <w:rFonts w:hint="eastAsia" w:ascii="宋体" w:hAnsi="宋体"/>
                <w:sz w:val="21"/>
                <w:szCs w:val="21"/>
                <w:highlight w:val="none"/>
              </w:rPr>
              <w:t>公司采取开票销售的方式进行，</w:t>
            </w:r>
            <w:r>
              <w:rPr>
                <w:rFonts w:hint="eastAsia" w:ascii="宋体" w:hAnsi="宋体"/>
                <w:sz w:val="21"/>
                <w:szCs w:val="21"/>
                <w:highlight w:val="none"/>
                <w:lang w:eastAsia="zh-CN"/>
              </w:rPr>
              <w:t>销售商品由供应商</w:t>
            </w:r>
            <w:r>
              <w:rPr>
                <w:rFonts w:hint="eastAsia" w:ascii="宋体" w:hAnsi="宋体"/>
                <w:sz w:val="21"/>
                <w:szCs w:val="21"/>
                <w:highlight w:val="none"/>
              </w:rPr>
              <w:t>直接交付到</w:t>
            </w:r>
            <w:r>
              <w:rPr>
                <w:rFonts w:hint="eastAsia" w:ascii="宋体" w:hAnsi="宋体"/>
                <w:sz w:val="21"/>
                <w:szCs w:val="21"/>
                <w:highlight w:val="none"/>
                <w:lang w:eastAsia="zh-CN"/>
              </w:rPr>
              <w:t>顾客</w:t>
            </w:r>
            <w:r>
              <w:rPr>
                <w:rFonts w:hint="eastAsia" w:ascii="宋体" w:hAnsi="宋体"/>
                <w:sz w:val="21"/>
                <w:szCs w:val="21"/>
                <w:highlight w:val="none"/>
              </w:rPr>
              <w:t>，未设置库房等周转环节</w:t>
            </w:r>
            <w:r>
              <w:rPr>
                <w:rFonts w:hint="eastAsia" w:ascii="宋体" w:hAnsi="宋体"/>
                <w:sz w:val="21"/>
                <w:szCs w:val="21"/>
                <w:highlight w:val="none"/>
                <w:lang w:eastAsia="zh-CN"/>
              </w:rPr>
              <w:t>。</w:t>
            </w:r>
          </w:p>
          <w:p>
            <w:pPr>
              <w:spacing w:line="400" w:lineRule="exact"/>
              <w:rPr>
                <w:rFonts w:ascii="宋体" w:hAnsi="宋体"/>
                <w:szCs w:val="21"/>
                <w:highlight w:val="none"/>
              </w:rPr>
            </w:pPr>
            <w:r>
              <w:rPr>
                <w:rFonts w:hint="eastAsia" w:ascii="宋体" w:hAnsi="宋体"/>
                <w:szCs w:val="21"/>
                <w:highlight w:val="none"/>
              </w:rPr>
              <w:t>无</w:t>
            </w:r>
          </w:p>
          <w:p>
            <w:pPr>
              <w:spacing w:line="400" w:lineRule="exact"/>
              <w:rPr>
                <w:szCs w:val="21"/>
                <w:highlight w:val="none"/>
              </w:rPr>
            </w:pPr>
            <w:r>
              <w:rPr>
                <w:rFonts w:hint="eastAsia"/>
                <w:szCs w:val="21"/>
                <w:highlight w:val="none"/>
              </w:rPr>
              <w:t>消防栓、灭火器</w:t>
            </w:r>
          </w:p>
          <w:p>
            <w:pPr>
              <w:spacing w:line="400" w:lineRule="exact"/>
              <w:rPr>
                <w:szCs w:val="21"/>
                <w:highlight w:val="none"/>
              </w:rPr>
            </w:pPr>
            <w:r>
              <w:rPr>
                <w:rFonts w:hint="eastAsia"/>
                <w:szCs w:val="21"/>
                <w:highlight w:val="none"/>
              </w:rPr>
              <w:t>配电箱、空开</w:t>
            </w:r>
          </w:p>
          <w:p>
            <w:pPr>
              <w:spacing w:line="400" w:lineRule="exact"/>
              <w:rPr>
                <w:szCs w:val="21"/>
                <w:highlight w:val="none"/>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982" w:type="dxa"/>
            <w:vAlign w:val="top"/>
          </w:tcPr>
          <w:p>
            <w:pPr>
              <w:spacing w:line="440" w:lineRule="exact"/>
              <w:jc w:val="left"/>
              <w:rPr>
                <w:rFonts w:ascii="宋体" w:hAnsi="宋体"/>
                <w:szCs w:val="21"/>
              </w:rPr>
            </w:pPr>
            <w:r>
              <w:rPr>
                <w:rFonts w:hint="eastAsia" w:ascii="宋体" w:hAnsi="宋体"/>
                <w:szCs w:val="21"/>
              </w:rPr>
              <w:t>Q/E/S:7.1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ascii="宋体" w:hAnsi="宋体"/>
                <w:szCs w:val="21"/>
              </w:rPr>
            </w:pPr>
            <w:r>
              <w:rPr>
                <w:rFonts w:hint="eastAsia" w:ascii="宋体" w:hAnsi="宋体"/>
                <w:szCs w:val="21"/>
                <w:lang w:eastAsia="zh-CN"/>
              </w:rPr>
              <w:t>在</w:t>
            </w:r>
            <w:r>
              <w:rPr>
                <w:rFonts w:hint="eastAsia" w:ascii="宋体" w:hAnsi="宋体"/>
                <w:szCs w:val="21"/>
                <w:lang w:val="en-US" w:eastAsia="zh-CN"/>
              </w:rPr>
              <w:t>写字楼</w:t>
            </w:r>
            <w:r>
              <w:rPr>
                <w:rFonts w:hint="eastAsia" w:ascii="宋体" w:hAnsi="宋体"/>
                <w:szCs w:val="21"/>
              </w:rPr>
              <w:t>内</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Q/E/S:10.2</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636"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二阶段质量管理体系宜重点关注（合同评审、采购控制、销售服务等）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重点审核部门：经营部、综合部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重点审核过程：产品销售和服务提供控制、顾客满意；产品和服务放行、不合格产品控制等。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w:t>
            </w:r>
          </w:p>
        </w:tc>
        <w:tc>
          <w:tcPr>
            <w:tcW w:w="982" w:type="dxa"/>
            <w:vAlign w:val="top"/>
          </w:tcPr>
          <w:p>
            <w:pPr>
              <w:adjustRightInd w:val="0"/>
              <w:snapToGrid w:val="0"/>
              <w:rPr>
                <w:rFonts w:hint="eastAsia" w:ascii="宋体" w:hAnsi="宋体"/>
                <w:szCs w:val="21"/>
              </w:rPr>
            </w:pP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77182"/>
    <w:rsid w:val="00084386"/>
    <w:rsid w:val="000B1F50"/>
    <w:rsid w:val="000C0711"/>
    <w:rsid w:val="00105A91"/>
    <w:rsid w:val="001A2D7F"/>
    <w:rsid w:val="001F5FC8"/>
    <w:rsid w:val="002B6B8C"/>
    <w:rsid w:val="00301ADF"/>
    <w:rsid w:val="00337922"/>
    <w:rsid w:val="00340867"/>
    <w:rsid w:val="00380837"/>
    <w:rsid w:val="0039337B"/>
    <w:rsid w:val="003B2665"/>
    <w:rsid w:val="003C6DA1"/>
    <w:rsid w:val="003D0050"/>
    <w:rsid w:val="003F3AF2"/>
    <w:rsid w:val="00405E02"/>
    <w:rsid w:val="00407627"/>
    <w:rsid w:val="00410914"/>
    <w:rsid w:val="004814B4"/>
    <w:rsid w:val="004E2167"/>
    <w:rsid w:val="00536930"/>
    <w:rsid w:val="00564E53"/>
    <w:rsid w:val="00590B18"/>
    <w:rsid w:val="005F08EC"/>
    <w:rsid w:val="00603BE2"/>
    <w:rsid w:val="00624BCF"/>
    <w:rsid w:val="00631E3F"/>
    <w:rsid w:val="00644FE2"/>
    <w:rsid w:val="0067640C"/>
    <w:rsid w:val="006776F7"/>
    <w:rsid w:val="00691D38"/>
    <w:rsid w:val="006E678B"/>
    <w:rsid w:val="006F08B1"/>
    <w:rsid w:val="007345CC"/>
    <w:rsid w:val="0075447B"/>
    <w:rsid w:val="007757F3"/>
    <w:rsid w:val="007851D6"/>
    <w:rsid w:val="007D1240"/>
    <w:rsid w:val="007E6AEB"/>
    <w:rsid w:val="00824194"/>
    <w:rsid w:val="00871C15"/>
    <w:rsid w:val="008973EE"/>
    <w:rsid w:val="008C7D6A"/>
    <w:rsid w:val="008D6159"/>
    <w:rsid w:val="00962F40"/>
    <w:rsid w:val="00971600"/>
    <w:rsid w:val="009973B4"/>
    <w:rsid w:val="009F7EED"/>
    <w:rsid w:val="00A608A8"/>
    <w:rsid w:val="00AA60F8"/>
    <w:rsid w:val="00AC3A96"/>
    <w:rsid w:val="00AF0AAB"/>
    <w:rsid w:val="00B258C1"/>
    <w:rsid w:val="00B2778C"/>
    <w:rsid w:val="00B40DF4"/>
    <w:rsid w:val="00B46436"/>
    <w:rsid w:val="00BA70EA"/>
    <w:rsid w:val="00BC384E"/>
    <w:rsid w:val="00BF597E"/>
    <w:rsid w:val="00C51A36"/>
    <w:rsid w:val="00C55228"/>
    <w:rsid w:val="00CA45E2"/>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914DB0"/>
    <w:rsid w:val="02FE79AF"/>
    <w:rsid w:val="03007B7B"/>
    <w:rsid w:val="05110358"/>
    <w:rsid w:val="058B52B7"/>
    <w:rsid w:val="078F5BE9"/>
    <w:rsid w:val="08A46BAD"/>
    <w:rsid w:val="09B92F09"/>
    <w:rsid w:val="09F945D6"/>
    <w:rsid w:val="0A2E4B70"/>
    <w:rsid w:val="0A913774"/>
    <w:rsid w:val="0AA54F4C"/>
    <w:rsid w:val="0CE24FBA"/>
    <w:rsid w:val="0CF13D82"/>
    <w:rsid w:val="0D0A51CF"/>
    <w:rsid w:val="0D1C33EC"/>
    <w:rsid w:val="0D714F8D"/>
    <w:rsid w:val="0E25209A"/>
    <w:rsid w:val="0E4038B6"/>
    <w:rsid w:val="0F083958"/>
    <w:rsid w:val="0FE61F0E"/>
    <w:rsid w:val="10584347"/>
    <w:rsid w:val="108219C2"/>
    <w:rsid w:val="10B15952"/>
    <w:rsid w:val="10BA3FA3"/>
    <w:rsid w:val="11D90A0D"/>
    <w:rsid w:val="132D5537"/>
    <w:rsid w:val="13F86CC6"/>
    <w:rsid w:val="14B3541A"/>
    <w:rsid w:val="14DB0526"/>
    <w:rsid w:val="16F502B5"/>
    <w:rsid w:val="173A44ED"/>
    <w:rsid w:val="178763DE"/>
    <w:rsid w:val="1843237E"/>
    <w:rsid w:val="188A5B45"/>
    <w:rsid w:val="18F3496B"/>
    <w:rsid w:val="19C315EE"/>
    <w:rsid w:val="1A3165D0"/>
    <w:rsid w:val="1A7412E6"/>
    <w:rsid w:val="1ADB1E14"/>
    <w:rsid w:val="1B0A383C"/>
    <w:rsid w:val="1B883AC7"/>
    <w:rsid w:val="1BF94737"/>
    <w:rsid w:val="1C74135E"/>
    <w:rsid w:val="1C9555C2"/>
    <w:rsid w:val="1D5C04E8"/>
    <w:rsid w:val="1EA13EDA"/>
    <w:rsid w:val="1F420E47"/>
    <w:rsid w:val="20205300"/>
    <w:rsid w:val="20741E17"/>
    <w:rsid w:val="22182E2B"/>
    <w:rsid w:val="22873E91"/>
    <w:rsid w:val="22880FC5"/>
    <w:rsid w:val="23CF173A"/>
    <w:rsid w:val="247567D5"/>
    <w:rsid w:val="2699614F"/>
    <w:rsid w:val="27845C79"/>
    <w:rsid w:val="284A3DE3"/>
    <w:rsid w:val="285C040E"/>
    <w:rsid w:val="288A6EBF"/>
    <w:rsid w:val="2A1B1879"/>
    <w:rsid w:val="2A38673C"/>
    <w:rsid w:val="2AE23791"/>
    <w:rsid w:val="2D453746"/>
    <w:rsid w:val="2D89725D"/>
    <w:rsid w:val="2E337362"/>
    <w:rsid w:val="2E3A6851"/>
    <w:rsid w:val="2E6507FB"/>
    <w:rsid w:val="2E8F3862"/>
    <w:rsid w:val="2ECF72A4"/>
    <w:rsid w:val="2EF57FB6"/>
    <w:rsid w:val="2F09530F"/>
    <w:rsid w:val="303514AA"/>
    <w:rsid w:val="31D15F9B"/>
    <w:rsid w:val="3244365E"/>
    <w:rsid w:val="32AF550F"/>
    <w:rsid w:val="32E72F3A"/>
    <w:rsid w:val="32F340D2"/>
    <w:rsid w:val="33E514FD"/>
    <w:rsid w:val="33EE5BC9"/>
    <w:rsid w:val="34071B60"/>
    <w:rsid w:val="341B55D8"/>
    <w:rsid w:val="346041F3"/>
    <w:rsid w:val="348A1928"/>
    <w:rsid w:val="34B3178E"/>
    <w:rsid w:val="34FB51F4"/>
    <w:rsid w:val="350E46E6"/>
    <w:rsid w:val="35424DD4"/>
    <w:rsid w:val="35B4109E"/>
    <w:rsid w:val="36513486"/>
    <w:rsid w:val="36BA30AC"/>
    <w:rsid w:val="36EF03C4"/>
    <w:rsid w:val="37F37F6B"/>
    <w:rsid w:val="3A0069CD"/>
    <w:rsid w:val="3CFE2C36"/>
    <w:rsid w:val="3D31019E"/>
    <w:rsid w:val="3DD61C5E"/>
    <w:rsid w:val="3E4A2DC0"/>
    <w:rsid w:val="3F0653EB"/>
    <w:rsid w:val="3F480834"/>
    <w:rsid w:val="3F60400C"/>
    <w:rsid w:val="41242052"/>
    <w:rsid w:val="413661E7"/>
    <w:rsid w:val="4389789A"/>
    <w:rsid w:val="43B95E51"/>
    <w:rsid w:val="444E487B"/>
    <w:rsid w:val="45292AD5"/>
    <w:rsid w:val="45517238"/>
    <w:rsid w:val="4564559E"/>
    <w:rsid w:val="459668DE"/>
    <w:rsid w:val="45BB551D"/>
    <w:rsid w:val="45DA5BCB"/>
    <w:rsid w:val="45F23538"/>
    <w:rsid w:val="46361000"/>
    <w:rsid w:val="463C4809"/>
    <w:rsid w:val="470432A0"/>
    <w:rsid w:val="4709198D"/>
    <w:rsid w:val="47481F35"/>
    <w:rsid w:val="477E0840"/>
    <w:rsid w:val="48DE42C4"/>
    <w:rsid w:val="492C416A"/>
    <w:rsid w:val="49842208"/>
    <w:rsid w:val="49874987"/>
    <w:rsid w:val="49B85AD4"/>
    <w:rsid w:val="49FF500E"/>
    <w:rsid w:val="4A090ABD"/>
    <w:rsid w:val="4C02538B"/>
    <w:rsid w:val="4C661386"/>
    <w:rsid w:val="4D5D2780"/>
    <w:rsid w:val="4DC5624A"/>
    <w:rsid w:val="4EBA1767"/>
    <w:rsid w:val="4F6607E7"/>
    <w:rsid w:val="50766997"/>
    <w:rsid w:val="50844264"/>
    <w:rsid w:val="5288776B"/>
    <w:rsid w:val="52CA5724"/>
    <w:rsid w:val="536F1793"/>
    <w:rsid w:val="53CB34C6"/>
    <w:rsid w:val="53E11F8E"/>
    <w:rsid w:val="54A07C25"/>
    <w:rsid w:val="55840B11"/>
    <w:rsid w:val="55B42C0A"/>
    <w:rsid w:val="572D1643"/>
    <w:rsid w:val="5744437D"/>
    <w:rsid w:val="574E1C45"/>
    <w:rsid w:val="593E1911"/>
    <w:rsid w:val="59BB58D0"/>
    <w:rsid w:val="5ACB5424"/>
    <w:rsid w:val="5B410F90"/>
    <w:rsid w:val="5BBF79FD"/>
    <w:rsid w:val="5BEE76B0"/>
    <w:rsid w:val="5C212B36"/>
    <w:rsid w:val="5CA03390"/>
    <w:rsid w:val="5CE93D4A"/>
    <w:rsid w:val="5D99189B"/>
    <w:rsid w:val="5DA63035"/>
    <w:rsid w:val="5DD9588B"/>
    <w:rsid w:val="5DD95D6A"/>
    <w:rsid w:val="5DE618CE"/>
    <w:rsid w:val="5E990703"/>
    <w:rsid w:val="5EA12B9A"/>
    <w:rsid w:val="5EB30D04"/>
    <w:rsid w:val="6016437E"/>
    <w:rsid w:val="60510DC9"/>
    <w:rsid w:val="60C11730"/>
    <w:rsid w:val="60D73480"/>
    <w:rsid w:val="610B77DC"/>
    <w:rsid w:val="618F7DA1"/>
    <w:rsid w:val="61BB584A"/>
    <w:rsid w:val="62373329"/>
    <w:rsid w:val="629042E0"/>
    <w:rsid w:val="630228D7"/>
    <w:rsid w:val="63D418E4"/>
    <w:rsid w:val="64B07103"/>
    <w:rsid w:val="64BC69D8"/>
    <w:rsid w:val="65922A06"/>
    <w:rsid w:val="65C26CFD"/>
    <w:rsid w:val="65C31127"/>
    <w:rsid w:val="66780237"/>
    <w:rsid w:val="67127677"/>
    <w:rsid w:val="673066A7"/>
    <w:rsid w:val="67A91452"/>
    <w:rsid w:val="67C24104"/>
    <w:rsid w:val="67DA6092"/>
    <w:rsid w:val="67DD2D95"/>
    <w:rsid w:val="67EC2785"/>
    <w:rsid w:val="680B3CFE"/>
    <w:rsid w:val="68A13467"/>
    <w:rsid w:val="69C04E50"/>
    <w:rsid w:val="69EC0103"/>
    <w:rsid w:val="6B2A3D7C"/>
    <w:rsid w:val="6D324DEA"/>
    <w:rsid w:val="6D394630"/>
    <w:rsid w:val="6DE04217"/>
    <w:rsid w:val="6E4C7F64"/>
    <w:rsid w:val="6EFB5A49"/>
    <w:rsid w:val="6F3F6908"/>
    <w:rsid w:val="708F5CE8"/>
    <w:rsid w:val="70B87701"/>
    <w:rsid w:val="71796B13"/>
    <w:rsid w:val="718965A6"/>
    <w:rsid w:val="718E17BF"/>
    <w:rsid w:val="722B4BCB"/>
    <w:rsid w:val="72DA0412"/>
    <w:rsid w:val="755D588B"/>
    <w:rsid w:val="75F739C3"/>
    <w:rsid w:val="77393AAD"/>
    <w:rsid w:val="777D19F5"/>
    <w:rsid w:val="77B86625"/>
    <w:rsid w:val="77CB0585"/>
    <w:rsid w:val="78C54EB6"/>
    <w:rsid w:val="7A144B62"/>
    <w:rsid w:val="7A2A56CD"/>
    <w:rsid w:val="7B53416D"/>
    <w:rsid w:val="7C0D225F"/>
    <w:rsid w:val="7CDF6DCF"/>
    <w:rsid w:val="7D5151E7"/>
    <w:rsid w:val="7D845F64"/>
    <w:rsid w:val="7E126EB0"/>
    <w:rsid w:val="7EB4799A"/>
    <w:rsid w:val="7F1E3587"/>
    <w:rsid w:val="7F797469"/>
    <w:rsid w:val="7F9D1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346</Words>
  <Characters>1973</Characters>
  <Lines>16</Lines>
  <Paragraphs>4</Paragraphs>
  <TotalTime>5</TotalTime>
  <ScaleCrop>false</ScaleCrop>
  <LinksUpToDate>false</LinksUpToDate>
  <CharactersWithSpaces>2315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2020-09-16T06:29:42Z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