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阜宁县宏达石化机械有限公司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Q：17.10.01;17.10.02;17.11.03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钢管、圆钢→下料→粗加工→热处理（外协）→金加工→表面处理（部分外协）→装配→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测试→包 装→入库→销售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金加工主要为加工偏差的精度控制；表面处理部分外协，部分企业自主实施主要控制浸泡槽的温度（自动控制）；试压测试；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热处理过程为特殊过程，外协加工，但对加工方提出人员、设备、工艺的要求；并对结果进行监测。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</w:rPr>
              <w:t>废弃皂化液排放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机械油滴漏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废机油排放等；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高压油渗漏</w:t>
            </w:r>
            <w:r>
              <w:rPr>
                <w:rFonts w:hint="eastAsia"/>
                <w:szCs w:val="21"/>
                <w:lang w:val="en-US" w:eastAsia="zh-CN"/>
              </w:rPr>
              <w:t>压力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机械切削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伤害、违规操作等；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SY/T 5106-2019《石油天然气钻采设备 封隔器规范》、SY/T 5832-2009《抽油杆扶正器》、SY/T 5069《石油天然气工业钻井和采油设备 管柱类落物打捞工》、SY/T 5562-2016《油气井用射孔枪》、SY/T 5275-2014《注水用配水器》等；</w:t>
            </w:r>
            <w:r>
              <w:rPr>
                <w:rFonts w:hint="eastAsia"/>
                <w:sz w:val="20"/>
                <w:szCs w:val="20"/>
              </w:rPr>
              <w:t>《污水综合排放标准》（GB 8978-1996）《污水排入城镇下水道水质标准》（GB/T 31962-2015）</w:t>
            </w:r>
            <w:r>
              <w:rPr>
                <w:sz w:val="20"/>
                <w:szCs w:val="20"/>
              </w:rPr>
              <w:t>《大气污染物综合排放标准》（GB16297-1996）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按标准要求执行；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2020.9.11      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C274C7"/>
    <w:rsid w:val="6C4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2020-09-12T07:45:53Z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