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113665</wp:posOffset>
            </wp:positionH>
            <wp:positionV relativeFrom="paragraph">
              <wp:posOffset>149860</wp:posOffset>
            </wp:positionV>
            <wp:extent cx="6395085" cy="9203055"/>
            <wp:effectExtent l="0" t="0" r="5715" b="4445"/>
            <wp:wrapNone/>
            <wp:docPr id="1" name="图片 1" descr="新文档 2020-10-11 10.14.05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0-11 10.14.05_6"/>
                    <pic:cNvPicPr>
                      <a:picLocks noChangeAspect="1"/>
                    </pic:cNvPicPr>
                  </pic:nvPicPr>
                  <pic:blipFill>
                    <a:blip r:embed="rId6"/>
                    <a:stretch>
                      <a:fillRect/>
                    </a:stretch>
                  </pic:blipFill>
                  <pic:spPr>
                    <a:xfrm>
                      <a:off x="0" y="0"/>
                      <a:ext cx="6395085" cy="920305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石家庄林玉家具有限公司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2019-N1QMS-3072033</w:t>
            </w:r>
          </w:p>
          <w:p>
            <w:pPr>
              <w:snapToGrid w:val="0"/>
              <w:spacing w:line="320" w:lineRule="exact"/>
              <w:ind w:left="1309"/>
              <w:rPr>
                <w:sz w:val="22"/>
                <w:szCs w:val="22"/>
                <w:highlight w:val="none"/>
              </w:rPr>
            </w:pPr>
            <w:r>
              <w:rPr>
                <w:sz w:val="22"/>
                <w:szCs w:val="22"/>
                <w:highlight w:val="none"/>
              </w:rPr>
              <w:t>2018-N1EMS-2072033</w:t>
            </w:r>
          </w:p>
          <w:p>
            <w:pPr>
              <w:snapToGrid w:val="0"/>
              <w:spacing w:line="320" w:lineRule="exact"/>
              <w:ind w:left="1309"/>
              <w:rPr>
                <w:sz w:val="22"/>
                <w:szCs w:val="22"/>
                <w:highlight w:val="none"/>
              </w:rPr>
            </w:pPr>
            <w:r>
              <w:rPr>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B375D2"/>
    <w:rsid w:val="4F5D72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2020-10-11T02:43:25Z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