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0464-2020-QEO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石家庄林玉家具有限公司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w:t>
            </w:r>
          </w:p>
          <w:p>
            <w:pPr>
              <w:spacing w:line="240" w:lineRule="exact"/>
              <w:jc w:val="center"/>
              <w:rPr>
                <w:b/>
                <w:color w:val="000000"/>
                <w:sz w:val="20"/>
                <w:szCs w:val="20"/>
              </w:rPr>
            </w:pPr>
            <w:r>
              <w:rPr>
                <w:b/>
                <w:color w:val="000000"/>
                <w:sz w:val="20"/>
                <w:szCs w:val="20"/>
              </w:rPr>
              <w:t>E:23.01.01</w:t>
            </w:r>
          </w:p>
          <w:p>
            <w:pPr>
              <w:spacing w:line="240" w:lineRule="exact"/>
              <w:jc w:val="center"/>
              <w:rPr>
                <w:b/>
                <w:color w:val="000000"/>
                <w:sz w:val="20"/>
                <w:szCs w:val="20"/>
              </w:rPr>
            </w:pPr>
            <w:r>
              <w:rPr>
                <w:b/>
                <w:color w:val="000000"/>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石家庄林玉家具有限公司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河北省石家庄市行唐县经济开发区科技大街路北</w:t>
            </w:r>
            <w:bookmarkEnd w:id="7"/>
          </w:p>
        </w:tc>
        <w:tc>
          <w:tcPr>
            <w:tcW w:w="78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13" w:type="dxa"/>
          </w:tcPr>
          <w:p>
            <w:pPr>
              <w:spacing w:line="280" w:lineRule="exact"/>
              <w:rPr>
                <w:rFonts w:ascii="宋体"/>
                <w:b/>
                <w:color w:val="000000"/>
                <w:sz w:val="20"/>
                <w:szCs w:val="20"/>
              </w:rPr>
            </w:pPr>
            <w:bookmarkStart w:id="8" w:name="注册邮编"/>
            <w:r>
              <w:rPr>
                <w:rFonts w:ascii="宋体"/>
                <w:b/>
                <w:color w:val="000000"/>
                <w:sz w:val="20"/>
                <w:szCs w:val="20"/>
              </w:rPr>
              <w:t>050600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9" w:name="生产地址Add1"/>
            <w:r>
              <w:rPr>
                <w:rFonts w:ascii="宋体"/>
                <w:b/>
                <w:color w:val="000000"/>
                <w:sz w:val="20"/>
                <w:szCs w:val="20"/>
              </w:rPr>
              <w:t>河北省石家庄市行唐县经济开发区科技大街路北</w:t>
            </w:r>
            <w:bookmarkEnd w:id="9"/>
          </w:p>
        </w:tc>
        <w:tc>
          <w:tcPr>
            <w:tcW w:w="787" w:type="dxa"/>
            <w:vMerge w:val="continue"/>
            <w:vAlign w:val="center"/>
          </w:tcPr>
          <w:p>
            <w:pPr>
              <w:spacing w:line="280" w:lineRule="exact"/>
              <w:jc w:val="center"/>
              <w:rPr>
                <w:rFonts w:ascii="宋体"/>
                <w:b/>
                <w:color w:val="000000"/>
                <w:sz w:val="20"/>
                <w:szCs w:val="20"/>
              </w:rPr>
            </w:pPr>
          </w:p>
        </w:tc>
        <w:tc>
          <w:tcPr>
            <w:tcW w:w="2013" w:type="dxa"/>
          </w:tcPr>
          <w:p>
            <w:pPr>
              <w:spacing w:line="280" w:lineRule="exact"/>
              <w:rPr>
                <w:rFonts w:ascii="宋体"/>
                <w:b/>
                <w:color w:val="000000"/>
                <w:sz w:val="20"/>
                <w:szCs w:val="20"/>
              </w:rPr>
            </w:pPr>
            <w:bookmarkStart w:id="10" w:name="生产邮编Add1"/>
            <w:r>
              <w:rPr>
                <w:rFonts w:ascii="宋体"/>
                <w:b/>
                <w:color w:val="000000"/>
                <w:sz w:val="20"/>
                <w:szCs w:val="20"/>
              </w:rPr>
              <w:t>050600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1" w:name="联系人Add1"/>
            <w:r>
              <w:rPr>
                <w:rFonts w:ascii="宋体"/>
                <w:b/>
                <w:color w:val="000000"/>
                <w:sz w:val="20"/>
                <w:szCs w:val="20"/>
              </w:rPr>
              <w:t>金苗</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2" w:name="联系人电话Add1"/>
            <w:r>
              <w:rPr>
                <w:rFonts w:ascii="宋体"/>
                <w:b/>
                <w:color w:val="000000"/>
                <w:sz w:val="20"/>
                <w:szCs w:val="20"/>
              </w:rPr>
              <w:t>18410259001</w:t>
            </w:r>
            <w:bookmarkEnd w:id="12"/>
          </w:p>
        </w:tc>
        <w:tc>
          <w:tcPr>
            <w:tcW w:w="78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3"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4" w:name="法人"/>
            <w:r>
              <w:rPr>
                <w:rFonts w:ascii="宋体"/>
                <w:b/>
                <w:color w:val="000000"/>
                <w:sz w:val="20"/>
                <w:szCs w:val="20"/>
              </w:rPr>
              <w:t>金苗</w:t>
            </w:r>
            <w:bookmarkEnd w:id="14"/>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5" w:name="管理者代表"/>
            <w:r>
              <w:rPr>
                <w:rFonts w:ascii="宋体"/>
                <w:b/>
                <w:color w:val="000000"/>
                <w:sz w:val="20"/>
                <w:szCs w:val="20"/>
              </w:rPr>
              <w:t>岳欢</w:t>
            </w:r>
            <w:bookmarkEnd w:id="15"/>
          </w:p>
        </w:tc>
        <w:tc>
          <w:tcPr>
            <w:tcW w:w="787" w:type="dxa"/>
          </w:tcPr>
          <w:p>
            <w:pPr>
              <w:jc w:val="center"/>
              <w:rPr>
                <w:rFonts w:ascii="宋体"/>
                <w:b/>
                <w:color w:val="000000"/>
                <w:sz w:val="20"/>
                <w:szCs w:val="20"/>
              </w:rPr>
            </w:pPr>
            <w:r>
              <w:rPr>
                <w:rFonts w:hint="eastAsia" w:ascii="宋体"/>
                <w:b/>
                <w:color w:val="000000"/>
                <w:sz w:val="20"/>
                <w:szCs w:val="20"/>
              </w:rPr>
              <w:t>邮箱</w:t>
            </w:r>
          </w:p>
        </w:tc>
        <w:tc>
          <w:tcPr>
            <w:tcW w:w="2013" w:type="dxa"/>
          </w:tcPr>
          <w:p>
            <w:pPr>
              <w:rPr>
                <w:rFonts w:ascii="宋体"/>
                <w:b/>
                <w:color w:val="000000"/>
                <w:sz w:val="20"/>
                <w:szCs w:val="20"/>
              </w:rPr>
            </w:pPr>
            <w:bookmarkStart w:id="16" w:name="联系人邮箱Add1"/>
            <w:r>
              <w:rPr>
                <w:rFonts w:ascii="宋体"/>
                <w:b/>
                <w:color w:val="000000"/>
                <w:sz w:val="20"/>
                <w:szCs w:val="20"/>
              </w:rPr>
              <w:t>ZSHRZ_511@163.com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Q：办公家具（酒店家具、养老院家具、公寓家具、学校家具、幼儿园家具）的生产及销售</w:t>
            </w:r>
          </w:p>
          <w:p>
            <w:pPr>
              <w:spacing w:line="400" w:lineRule="exact"/>
              <w:rPr>
                <w:rFonts w:ascii="宋体" w:hAnsi="宋体"/>
                <w:b/>
                <w:color w:val="000000"/>
                <w:sz w:val="20"/>
                <w:szCs w:val="20"/>
              </w:rPr>
            </w:pPr>
            <w:r>
              <w:rPr>
                <w:rFonts w:ascii="宋体" w:hAnsi="宋体"/>
                <w:b/>
                <w:color w:val="000000"/>
                <w:sz w:val="20"/>
                <w:szCs w:val="20"/>
              </w:rPr>
              <w:t>E：办公家具（酒店家具、养老院家具、公寓家具、学校家具、幼儿园家具）的生产及销售及相关环境管理活动</w:t>
            </w:r>
          </w:p>
          <w:p>
            <w:pPr>
              <w:spacing w:line="400" w:lineRule="exact"/>
              <w:rPr>
                <w:rFonts w:ascii="宋体" w:hAnsi="宋体"/>
                <w:b/>
                <w:color w:val="000000"/>
                <w:sz w:val="20"/>
                <w:szCs w:val="20"/>
              </w:rPr>
            </w:pPr>
            <w:r>
              <w:rPr>
                <w:rFonts w:ascii="宋体" w:hAnsi="宋体"/>
                <w:b/>
                <w:color w:val="000000"/>
                <w:sz w:val="20"/>
                <w:szCs w:val="20"/>
              </w:rPr>
              <w:t>O：办公家具（酒店家具、养老院家具、公寓家具、学校家具、幼儿园家具）的生产及销售及相关职业健康安全管理活动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Q：23.01.01</w:t>
            </w:r>
          </w:p>
          <w:p>
            <w:pPr>
              <w:spacing w:line="280" w:lineRule="exact"/>
              <w:rPr>
                <w:rFonts w:ascii="宋体"/>
                <w:b/>
                <w:color w:val="000000"/>
                <w:sz w:val="20"/>
                <w:szCs w:val="20"/>
              </w:rPr>
            </w:pPr>
            <w:r>
              <w:rPr>
                <w:rFonts w:ascii="宋体"/>
                <w:b/>
                <w:color w:val="000000"/>
                <w:sz w:val="20"/>
                <w:szCs w:val="20"/>
              </w:rPr>
              <w:t>E：23.01.01</w:t>
            </w:r>
          </w:p>
          <w:p>
            <w:pPr>
              <w:spacing w:line="280" w:lineRule="exact"/>
              <w:rPr>
                <w:rFonts w:ascii="宋体"/>
                <w:b/>
                <w:color w:val="000000"/>
                <w:sz w:val="20"/>
                <w:szCs w:val="20"/>
              </w:rPr>
            </w:pPr>
            <w:r>
              <w:rPr>
                <w:rFonts w:ascii="宋体"/>
                <w:b/>
                <w:color w:val="000000"/>
                <w:sz w:val="20"/>
                <w:szCs w:val="20"/>
              </w:rPr>
              <w:t>O：23.01.01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sz w:val="21"/>
                <w:szCs w:val="21"/>
              </w:rPr>
              <w:t>办公家具（酒店家具、养老院家具、公寓家具、学校家具、幼儿园家具）的生产及销售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河北省石家庄市行唐县经济开发区科技大街路北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河北省石家庄市行唐县经济开发区科技大街路北</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sz w:val="21"/>
                <w:szCs w:val="21"/>
              </w:rPr>
              <w:t>GB/T 3324-2017《木家具通用技术条件》</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color w:val="000000"/>
                <w:sz w:val="20"/>
                <w:szCs w:val="20"/>
              </w:rPr>
            </w:pPr>
            <w:r>
              <w:rPr>
                <w:rFonts w:hint="eastAsia" w:ascii="宋体" w:hAnsi="宋体"/>
                <w:sz w:val="24"/>
                <w:szCs w:val="24"/>
                <w:lang w:val="en-US" w:eastAsia="zh-CN"/>
              </w:rPr>
              <w:t>板材</w:t>
            </w:r>
            <w:r>
              <w:rPr>
                <w:rFonts w:hint="eastAsia" w:ascii="宋体" w:hAnsi="宋体"/>
                <w:sz w:val="24"/>
                <w:szCs w:val="24"/>
              </w:rPr>
              <w:t>→</w:t>
            </w:r>
            <w:r>
              <w:rPr>
                <w:rFonts w:hint="eastAsia" w:ascii="宋体" w:hAnsi="宋体"/>
                <w:sz w:val="24"/>
                <w:szCs w:val="24"/>
                <w:lang w:val="en-US" w:eastAsia="zh-CN"/>
              </w:rPr>
              <w:t>下料</w:t>
            </w:r>
            <w:r>
              <w:rPr>
                <w:rFonts w:hint="eastAsia" w:ascii="宋体" w:hAnsi="宋体"/>
                <w:sz w:val="24"/>
                <w:szCs w:val="24"/>
              </w:rPr>
              <w:t>→</w:t>
            </w:r>
            <w:r>
              <w:rPr>
                <w:rFonts w:hint="eastAsia" w:ascii="宋体" w:hAnsi="宋体"/>
                <w:sz w:val="24"/>
                <w:szCs w:val="24"/>
                <w:lang w:val="en-US" w:eastAsia="zh-CN"/>
              </w:rPr>
              <w:t>封边</w:t>
            </w:r>
            <w:r>
              <w:rPr>
                <w:rFonts w:hint="eastAsia" w:ascii="宋体" w:hAnsi="宋体"/>
                <w:sz w:val="24"/>
                <w:szCs w:val="24"/>
              </w:rPr>
              <w:t>→</w:t>
            </w:r>
            <w:r>
              <w:rPr>
                <w:rFonts w:hint="eastAsia" w:ascii="宋体" w:hAnsi="宋体"/>
                <w:sz w:val="24"/>
                <w:szCs w:val="24"/>
                <w:lang w:val="en-US" w:eastAsia="zh-CN"/>
              </w:rPr>
              <w:t>排孔</w:t>
            </w:r>
            <w:r>
              <w:rPr>
                <w:rFonts w:hint="eastAsia" w:ascii="宋体" w:hAnsi="宋体"/>
                <w:sz w:val="24"/>
                <w:szCs w:val="24"/>
              </w:rPr>
              <w:t>→</w:t>
            </w:r>
            <w:r>
              <w:rPr>
                <w:rFonts w:hint="eastAsia" w:ascii="宋体" w:hAnsi="宋体"/>
                <w:sz w:val="24"/>
                <w:szCs w:val="24"/>
                <w:lang w:val="en-US" w:eastAsia="zh-CN"/>
              </w:rPr>
              <w:t>组装</w:t>
            </w:r>
            <w:r>
              <w:rPr>
                <w:rFonts w:hint="eastAsia" w:ascii="宋体" w:hAnsi="宋体"/>
                <w:sz w:val="24"/>
                <w:szCs w:val="24"/>
              </w:rPr>
              <w:t>→</w:t>
            </w:r>
            <w:r>
              <w:rPr>
                <w:rFonts w:hint="eastAsia" w:ascii="宋体" w:hAnsi="宋体"/>
                <w:sz w:val="24"/>
                <w:szCs w:val="24"/>
                <w:lang w:val="en-US" w:eastAsia="zh-CN"/>
              </w:rPr>
              <w:t>包装</w:t>
            </w:r>
            <w:r>
              <w:rPr>
                <w:rFonts w:hint="eastAsia" w:ascii="宋体" w:hAnsi="宋体"/>
                <w:sz w:val="24"/>
                <w:szCs w:val="24"/>
              </w:rPr>
              <w:t>→</w:t>
            </w:r>
            <w:r>
              <w:rPr>
                <w:rFonts w:hint="eastAsia" w:ascii="宋体" w:hAnsi="宋体"/>
                <w:sz w:val="24"/>
                <w:szCs w:val="24"/>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封边作业指导书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highlight w:val="none"/>
                <w:lang w:val="en-US" w:eastAsia="zh-CN"/>
              </w:rPr>
              <w:t>精密推台锯、排钻机、木工砂光机、封边机、修边机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生产车间</w:t>
            </w:r>
            <w:r>
              <w:rPr>
                <w:rFonts w:hint="eastAsia"/>
                <w:sz w:val="21"/>
                <w:szCs w:val="21"/>
                <w:lang w:val="en-US" w:eastAsia="zh-CN"/>
              </w:rPr>
              <w:t>面积1800平米，</w:t>
            </w:r>
            <w:r>
              <w:rPr>
                <w:rFonts w:hint="eastAsia"/>
                <w:sz w:val="21"/>
                <w:szCs w:val="21"/>
                <w:lang w:eastAsia="zh-CN"/>
              </w:rPr>
              <w:t>工序布局合理，场所卫生干净整洁，配有通风设施，工作环境良好</w:t>
            </w:r>
          </w:p>
        </w:tc>
      </w:tr>
      <w:tr>
        <w:tblPrEx>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生产部、业务部、质检部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1871345</wp:posOffset>
            </wp:positionH>
            <wp:positionV relativeFrom="paragraph">
              <wp:posOffset>209550</wp:posOffset>
            </wp:positionV>
            <wp:extent cx="749300" cy="666750"/>
            <wp:effectExtent l="0" t="0" r="0" b="6350"/>
            <wp:wrapNone/>
            <wp:docPr id="1" name="图片 2"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f7076872de3cce992ff02c4ae92adb"/>
                    <pic:cNvPicPr>
                      <a:picLocks noChangeAspect="1"/>
                    </pic:cNvPicPr>
                  </pic:nvPicPr>
                  <pic:blipFill>
                    <a:blip r:embed="rId7"/>
                    <a:stretch>
                      <a:fillRect/>
                    </a:stretch>
                  </pic:blipFill>
                  <pic:spPr>
                    <a:xfrm>
                      <a:off x="0" y="0"/>
                      <a:ext cx="749300" cy="66675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2020年9月18日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bookmarkStart w:id="19" w:name="_GoBack"/>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bookmarkEnd w:id="19"/>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71B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2020-09-21T01:51:06Z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