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海南黎母沉香产业发展有限公司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海南黎母沉香产业发展有限公司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12人，人员没有变化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海南省琼中县加钗中学A栋</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572900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海南省琼中县加钗中学A栋</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572900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海南省琼中县加钗中学A栋</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572900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李德林</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0898--86260175</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苗丽荣</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hint="eastAsia"/>
              </w:rPr>
              <w:t>苗丽荣</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王宁</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2020年09月16日 上午至2020年09月18日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3" w:name="审核范围"/>
            <w:r>
              <w:rPr>
                <w:rFonts w:hint="eastAsia" w:ascii="宋体" w:hAnsi="宋体"/>
              </w:rPr>
              <w:t>Q：沉香制品(沉香丝)销售</w:t>
            </w:r>
          </w:p>
          <w:p>
            <w:pPr>
              <w:spacing w:line="0" w:lineRule="atLeast"/>
              <w:jc w:val="left"/>
              <w:rPr>
                <w:rFonts w:hint="eastAsia" w:ascii="宋体" w:hAnsi="宋体"/>
              </w:rPr>
            </w:pPr>
            <w:r>
              <w:rPr>
                <w:rFonts w:hint="eastAsia" w:ascii="宋体" w:hAnsi="宋体"/>
              </w:rPr>
              <w:t>E：沉香制品(沉香丝)的销售及其所涉及的环境管理活动</w:t>
            </w:r>
          </w:p>
          <w:p>
            <w:pPr>
              <w:spacing w:line="360" w:lineRule="exact"/>
              <w:rPr>
                <w:rFonts w:ascii="宋体" w:hAnsi="宋体"/>
                <w:b/>
                <w:sz w:val="21"/>
                <w:szCs w:val="21"/>
              </w:rPr>
            </w:pPr>
            <w:r>
              <w:rPr>
                <w:rFonts w:hint="eastAsia" w:ascii="宋体" w:hAnsi="宋体"/>
              </w:rPr>
              <w:t>O：沉香制品(沉香丝)的销售及其所涉及的职业健康安全管理活动</w:t>
            </w:r>
            <w:bookmarkEnd w:id="23"/>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Q：29.12.00</w:t>
            </w:r>
          </w:p>
          <w:p>
            <w:pPr>
              <w:spacing w:line="260" w:lineRule="exact"/>
              <w:rPr>
                <w:rFonts w:ascii="宋体" w:hAnsi="宋体"/>
                <w:b/>
                <w:sz w:val="21"/>
                <w:szCs w:val="21"/>
              </w:rPr>
            </w:pPr>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O：29.12.00</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rPr>
                <w:rFonts w:hint="eastAsia" w:ascii="宋体" w:hAnsi="宋体"/>
                <w:b/>
                <w:sz w:val="21"/>
                <w:szCs w:val="21"/>
                <w:lang w:val="en-US" w:eastAsia="zh-CN"/>
              </w:rPr>
            </w:pPr>
          </w:p>
          <w:p>
            <w:pPr>
              <w:rPr>
                <w:rFonts w:hint="default" w:ascii="宋体" w:hAnsi="宋体"/>
                <w:b/>
                <w:sz w:val="21"/>
                <w:szCs w:val="21"/>
                <w:lang w:val="en-US" w:eastAsia="zh-CN"/>
              </w:rPr>
            </w:pPr>
            <w:r>
              <w:rPr>
                <w:rFonts w:hint="eastAsia" w:ascii="宋体" w:hAnsi="宋体"/>
                <w:b/>
                <w:sz w:val="21"/>
                <w:szCs w:val="21"/>
                <w:lang w:val="en-US" w:eastAsia="zh-CN"/>
              </w:rPr>
              <w:t>2022-11-14</w:t>
            </w:r>
          </w:p>
        </w:tc>
        <w:tc>
          <w:tcPr>
            <w:tcW w:w="1672" w:type="dxa"/>
            <w:vAlign w:val="center"/>
          </w:tcPr>
          <w:p>
            <w:pPr>
              <w:rPr>
                <w:rFonts w:ascii="宋体" w:hAnsi="宋体"/>
                <w:b/>
                <w:sz w:val="21"/>
                <w:szCs w:val="21"/>
              </w:rPr>
            </w:pPr>
            <w:r>
              <w:rPr>
                <w:rFonts w:hint="eastAsia" w:ascii="宋体" w:hAnsi="宋体"/>
                <w:b/>
                <w:sz w:val="21"/>
                <w:szCs w:val="21"/>
              </w:rPr>
              <w:t>上年度</w:t>
            </w:r>
          </w:p>
          <w:p>
            <w:pPr>
              <w:rPr>
                <w:rFonts w:ascii="宋体" w:hAnsi="宋体"/>
                <w:b/>
                <w:sz w:val="21"/>
                <w:szCs w:val="21"/>
              </w:rPr>
            </w:pPr>
            <w:r>
              <w:rPr>
                <w:rFonts w:hint="eastAsia" w:ascii="宋体" w:hAnsi="宋体"/>
                <w:b/>
                <w:sz w:val="21"/>
                <w:szCs w:val="21"/>
              </w:rPr>
              <w:t>审核日期</w:t>
            </w:r>
          </w:p>
        </w:tc>
        <w:tc>
          <w:tcPr>
            <w:tcW w:w="1500" w:type="dxa"/>
          </w:tcPr>
          <w:p>
            <w:pPr>
              <w:rPr>
                <w:rFonts w:ascii="宋体" w:hAnsi="宋体"/>
                <w:b/>
                <w:sz w:val="21"/>
                <w:szCs w:val="21"/>
              </w:rPr>
            </w:pPr>
            <w:r>
              <w:rPr>
                <w:rFonts w:ascii="宋体" w:hAnsi="宋体"/>
                <w:b/>
                <w:sz w:val="21"/>
                <w:szCs w:val="21"/>
              </w:rPr>
              <w:t>2019-11-06 -- 2019-11-10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szCs w:val="22"/>
              </w:rPr>
            </w:pPr>
            <w:r>
              <w:rPr>
                <w:rFonts w:hint="eastAsia" w:ascii="Times New Roman" w:hAnsi="Times New Roman" w:cs="Times New Roman"/>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szCs w:val="22"/>
              </w:rPr>
            </w:pPr>
            <w:r>
              <w:rPr>
                <w:rFonts w:hint="eastAsia" w:ascii="Times New Roman" w:hAnsi="Times New Roman" w:cs="Times New Roman"/>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cs="Times New Roman"/>
                <w:szCs w:val="22"/>
              </w:rPr>
            </w:pPr>
            <w:r>
              <w:rPr>
                <w:rFonts w:hint="eastAsia" w:ascii="Times New Roman" w:hAnsi="Times New Roman" w:cs="Times New Roman"/>
                <w:szCs w:val="22"/>
              </w:rPr>
              <w:t>经充分考虑本组织特点，公司的</w:t>
            </w:r>
            <w:r>
              <w:rPr>
                <w:rFonts w:hint="eastAsia" w:ascii="Times New Roman" w:hAnsi="Times New Roman" w:cs="Times New Roman"/>
                <w:szCs w:val="22"/>
                <w:lang w:eastAsia="zh-CN"/>
              </w:rPr>
              <w:t>管理</w:t>
            </w:r>
            <w:r>
              <w:rPr>
                <w:rFonts w:hint="eastAsia" w:ascii="Times New Roman" w:hAnsi="Times New Roman" w:cs="Times New Roman"/>
                <w:szCs w:val="22"/>
              </w:rPr>
              <w:t>方针是：</w:t>
            </w:r>
          </w:p>
          <w:p>
            <w:pPr>
              <w:rPr>
                <w:rFonts w:hint="eastAsia"/>
              </w:rPr>
            </w:pPr>
            <w:r>
              <w:rPr>
                <w:rFonts w:hint="eastAsia"/>
              </w:rPr>
              <w:t>追求进步；竭诚服务，完善管理，满足顾客需求；</w:t>
            </w:r>
          </w:p>
          <w:p>
            <w:pPr>
              <w:rPr>
                <w:rFonts w:hint="eastAsia"/>
              </w:rPr>
            </w:pPr>
            <w:r>
              <w:rPr>
                <w:rFonts w:hint="eastAsia"/>
              </w:rPr>
              <w:t>节能降耗，提高全员意识；遵纪守法，持续发展，强化风险控制。</w:t>
            </w:r>
          </w:p>
          <w:p>
            <w:pP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imes New Roman" w:hAnsi="Times New Roman" w:cs="Times New Roman"/>
                <w:szCs w:val="22"/>
                <w:lang w:val="en-US" w:eastAsia="zh-CN"/>
              </w:rPr>
              <w:t>通过管理手册的分发使全体员工理解方针，通过内审和管理评审保持方针的适宜性</w:t>
            </w:r>
            <w:r>
              <w:rPr>
                <w:rFonts w:hint="eastAsia" w:asciiTheme="minorEastAsia" w:hAnsiTheme="minorEastAsia" w:eastAsiaTheme="minorEastAsia" w:cstheme="minorEastAsia"/>
                <w:b w:val="0"/>
                <w:bCs w:val="0"/>
                <w:color w:val="auto"/>
                <w:spacing w:val="0"/>
                <w:kern w:val="2"/>
                <w:sz w:val="21"/>
                <w:szCs w:val="21"/>
                <w:lang w:val="en-US" w:eastAsia="zh-CN" w:bidi="ar-SA"/>
              </w:rPr>
              <w:t>。</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pStyle w:val="2"/>
              <w:numPr>
                <w:ilvl w:val="0"/>
                <w:numId w:val="1"/>
              </w:numPr>
              <w:ind w:left="0" w:leftChars="0" w:firstLine="0" w:firstLineChars="0"/>
              <w:rPr>
                <w:rFonts w:hint="eastAsia" w:ascii="宋体" w:hAnsi="宋体"/>
                <w:b/>
                <w:sz w:val="21"/>
                <w:szCs w:val="21"/>
              </w:rPr>
            </w:pPr>
            <w:r>
              <w:rPr>
                <w:rFonts w:hint="eastAsia" w:ascii="宋体" w:hAnsi="宋体"/>
                <w:b/>
                <w:sz w:val="21"/>
                <w:szCs w:val="21"/>
              </w:rPr>
              <w:t>风险识别与控制策划</w:t>
            </w:r>
          </w:p>
          <w:p>
            <w:pPr>
              <w:pStyle w:val="2"/>
              <w:numPr>
                <w:ilvl w:val="0"/>
                <w:numId w:val="0"/>
              </w:numPr>
              <w:ind w:leftChars="0"/>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制定了《风险和机遇的应对控制程序》，明确风险和机遇事件的识别方法/途径、风险和机遇事件的评估方式、制定主要风险和机遇事件的应对措施的要求、评价这些措施有效性的方法。</w:t>
            </w:r>
          </w:p>
          <w:p>
            <w:pPr>
              <w:pStyle w:val="2"/>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提供了“2020年度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ind w:firstLine="240" w:firstLineChars="100"/>
              <w:rPr>
                <w:rFonts w:hint="eastAsia" w:ascii="Times New Roman" w:hAnsi="Times New Roman" w:eastAsia="宋体" w:cs="Times New Roman"/>
              </w:rPr>
            </w:pPr>
            <w:r>
              <w:rPr>
                <w:rFonts w:hint="eastAsia"/>
              </w:rPr>
              <w:t>质量管理体系过程有：</w:t>
            </w:r>
            <w:r>
              <w:rPr>
                <w:rFonts w:hint="eastAsia" w:ascii="Times New Roman" w:hAnsi="Times New Roman" w:eastAsia="宋体" w:cs="Times New Roman"/>
              </w:rPr>
              <w:t>客户沟通----合同评审----签订合同-----采购-----客户提货-----验收交付</w:t>
            </w:r>
            <w:r>
              <w:rPr>
                <w:rFonts w:hint="eastAsia" w:ascii="Times New Roman" w:hAnsi="Times New Roman" w:eastAsia="宋体" w:cs="Times New Roman"/>
                <w:lang w:val="en-US" w:eastAsia="zh-CN"/>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销售服务过程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销售服务过程</w:t>
            </w:r>
          </w:p>
          <w:p>
            <w:pPr>
              <w:rPr>
                <w:rFonts w:hint="eastAsia"/>
              </w:rPr>
            </w:pPr>
            <w:r>
              <w:rPr>
                <w:rFonts w:hint="eastAsia" w:ascii="宋体" w:hAnsi="宋体"/>
                <w:b/>
                <w:color w:val="000000" w:themeColor="text1"/>
                <w:sz w:val="20"/>
                <w:szCs w:val="20"/>
              </w:rPr>
              <w:t xml:space="preserve">不适用条款是   8.3     ，不适用理由：  </w:t>
            </w:r>
            <w:r>
              <w:rPr>
                <w:rFonts w:hint="eastAsia" w:ascii="宋体" w:hAnsi="宋体"/>
                <w:sz w:val="21"/>
                <w:szCs w:val="21"/>
                <w:lang w:val="en-US" w:eastAsia="zh-CN"/>
              </w:rPr>
              <w:t>因该公司的</w:t>
            </w:r>
            <w:r>
              <w:rPr>
                <w:rFonts w:hint="eastAsia" w:ascii="宋体" w:hAnsi="宋体"/>
              </w:rPr>
              <w:t>沉香制品(沉香丝)销售</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24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ind w:firstLine="422" w:firstLineChars="200"/>
              <w:rPr>
                <w:szCs w:val="21"/>
              </w:rPr>
            </w:pPr>
            <w:r>
              <w:rPr>
                <w:rFonts w:hint="eastAsia" w:ascii="宋体" w:hAnsi="宋体"/>
                <w:b/>
                <w:sz w:val="21"/>
                <w:szCs w:val="21"/>
              </w:rPr>
              <w:t>（职业健康安全危险源辨识是否充分、风险评价合理性，以及风险评价动态变更的及时性等）</w:t>
            </w: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3</w:t>
            </w:r>
            <w:r>
              <w:rPr>
                <w:rFonts w:hint="eastAsia"/>
                <w:szCs w:val="21"/>
              </w:rPr>
              <w:t>项，涉及：火灾</w:t>
            </w:r>
            <w:r>
              <w:rPr>
                <w:rFonts w:hint="eastAsia"/>
                <w:szCs w:val="21"/>
                <w:lang w:eastAsia="zh-CN"/>
              </w:rPr>
              <w:t>、</w:t>
            </w:r>
            <w:r>
              <w:rPr>
                <w:rFonts w:hint="eastAsia"/>
                <w:szCs w:val="21"/>
              </w:rPr>
              <w:t>触电</w:t>
            </w:r>
            <w:r>
              <w:rPr>
                <w:rFonts w:hint="eastAsia"/>
                <w:szCs w:val="21"/>
                <w:lang w:eastAsia="zh-CN"/>
              </w:rPr>
              <w:t>、</w:t>
            </w:r>
            <w:r>
              <w:rPr>
                <w:rFonts w:hint="eastAsia"/>
                <w:szCs w:val="21"/>
                <w:lang w:val="en-US" w:eastAsia="zh-CN"/>
              </w:rPr>
              <w:t>意外伤害</w:t>
            </w:r>
            <w:r>
              <w:rPr>
                <w:rFonts w:hint="eastAsia"/>
                <w:szCs w:val="21"/>
              </w:rPr>
              <w:t>，评价符合程序要求及公司的实际情况。对危险源的控制措施包括制定管理制度、监督检查、应急预案、培训等。</w:t>
            </w:r>
          </w:p>
          <w:p>
            <w:pPr>
              <w:spacing w:line="240" w:lineRule="exact"/>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获取法律法规46项，■法律法规获取充分，□法律法规获取有遗漏，缺少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pStyle w:val="2"/>
            </w:pP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bCs/>
                <w:szCs w:val="21"/>
              </w:rPr>
            </w:pPr>
          </w:p>
          <w:p>
            <w:pPr>
              <w:tabs>
                <w:tab w:val="left" w:pos="540"/>
              </w:tabs>
              <w:spacing w:line="240" w:lineRule="exact"/>
              <w:rPr>
                <w:rFonts w:ascii="宋体" w:hAnsi="宋体"/>
                <w:b/>
                <w:sz w:val="21"/>
                <w:szCs w:val="21"/>
              </w:rPr>
            </w:pPr>
            <w:r>
              <w:rPr>
                <w:rFonts w:hint="eastAsia"/>
                <w:bCs/>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bCs/>
                <w:szCs w:val="21"/>
              </w:rPr>
              <w:t>该公司员工共</w:t>
            </w:r>
            <w:r>
              <w:rPr>
                <w:rFonts w:hint="eastAsia"/>
                <w:bCs/>
                <w:szCs w:val="21"/>
                <w:lang w:val="en-US" w:eastAsia="zh-CN"/>
              </w:rPr>
              <w:t>12</w:t>
            </w:r>
            <w:r>
              <w:rPr>
                <w:rFonts w:hint="eastAsia"/>
                <w:bCs/>
                <w:szCs w:val="21"/>
              </w:rPr>
              <w:t>人，管理人2人。有专业的销售人员，能满足</w:t>
            </w:r>
            <w:r>
              <w:rPr>
                <w:rFonts w:hint="eastAsia" w:ascii="宋体" w:hAnsi="宋体"/>
              </w:rPr>
              <w:t>沉香制品(沉香丝)销售</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00" w:lineRule="exact"/>
              <w:rPr>
                <w:bCs/>
                <w:szCs w:val="21"/>
              </w:rPr>
            </w:pPr>
            <w:r>
              <w:rPr>
                <w:rFonts w:hint="eastAsia"/>
                <w:bCs/>
                <w:szCs w:val="21"/>
              </w:rPr>
              <w:t>设备主要是办公设备，如电脑、打印机等。</w:t>
            </w:r>
          </w:p>
          <w:p>
            <w:pPr>
              <w:spacing w:line="240" w:lineRule="exact"/>
              <w:rPr>
                <w:rFonts w:ascii="宋体" w:hAnsi="宋体"/>
                <w:b/>
                <w:color w:val="000000" w:themeColor="text1"/>
                <w:sz w:val="20"/>
                <w:szCs w:val="20"/>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napToGrid w:val="0"/>
              <w:spacing w:line="280" w:lineRule="exact"/>
              <w:jc w:val="left"/>
            </w:pPr>
            <w:r>
              <w:rPr>
                <w:rFonts w:hint="eastAsia"/>
              </w:rPr>
              <w:t xml:space="preserve">销售服务过程控制：编制了相应的销售作业文件： </w:t>
            </w:r>
            <w:r>
              <w:rPr>
                <w:rFonts w:hint="eastAsia" w:ascii="宋体" w:hAnsi="宋体"/>
                <w:szCs w:val="21"/>
              </w:rPr>
              <w:t>净水设备的销售</w:t>
            </w:r>
            <w:r>
              <w:rPr>
                <w:rFonts w:hint="eastAsia"/>
              </w:rPr>
              <w:t>管理规范、服务规范、对</w:t>
            </w:r>
            <w:r>
              <w:rPr>
                <w:rFonts w:hint="eastAsia" w:ascii="宋体" w:hAnsi="宋体"/>
                <w:szCs w:val="21"/>
              </w:rPr>
              <w:t>净水设备的销售</w:t>
            </w:r>
            <w:r>
              <w:rPr>
                <w:rFonts w:hint="eastAsia"/>
              </w:rPr>
              <w:t>的整个过程做了明确的要求，从顾客沟通、合同评审、服务规范等各阶段，规定了服务的要求</w:t>
            </w:r>
          </w:p>
          <w:p>
            <w:pPr>
              <w:pStyle w:val="2"/>
            </w:pPr>
            <w:r>
              <w:rPr>
                <w:rFonts w:hint="eastAsia"/>
              </w:rPr>
              <w:t>销售服务的特殊过程控制从以下几个方面进行控制：</w:t>
            </w:r>
          </w:p>
          <w:p>
            <w:pPr>
              <w:pStyle w:val="2"/>
              <w:rPr>
                <w:color w:val="000000"/>
                <w:szCs w:val="22"/>
              </w:rPr>
            </w:pPr>
            <w:r>
              <w:rPr>
                <w:rFonts w:hint="eastAsia"/>
                <w:color w:val="000000"/>
              </w:rPr>
              <w:t>1)</w:t>
            </w:r>
            <w:r>
              <w:rPr>
                <w:rFonts w:hint="eastAsia"/>
                <w:color w:val="000000"/>
                <w:szCs w:val="22"/>
              </w:rPr>
              <w:t>接单:销售部业务员接收和接洽，是否有记录公司的《服务礼仪规定》能否满足要求，有无顾客投诉</w:t>
            </w:r>
          </w:p>
          <w:p>
            <w:pPr>
              <w:pStyle w:val="2"/>
              <w:rPr>
                <w:color w:val="000000"/>
                <w:szCs w:val="22"/>
              </w:rPr>
            </w:pPr>
            <w:r>
              <w:rPr>
                <w:rFonts w:hint="eastAsia"/>
                <w:color w:val="000000"/>
                <w:szCs w:val="22"/>
              </w:rPr>
              <w:t>2)采购:接收的产品销售任务是否及时传递到生产供方\编制“采购计划表”，是否及时跟踪并控制交货进度</w:t>
            </w:r>
          </w:p>
          <w:p>
            <w:pPr>
              <w:pStyle w:val="2"/>
              <w:rPr>
                <w:color w:val="000000"/>
                <w:szCs w:val="22"/>
              </w:rPr>
            </w:pPr>
            <w:r>
              <w:rPr>
                <w:rFonts w:hint="eastAsia"/>
                <w:color w:val="000000"/>
                <w:szCs w:val="22"/>
              </w:rPr>
              <w:t>3)发货:销售人员根据订单，把货物发到客户，销售部业务人员要仔细核对发货信息、货物信息等，是否检查防护措施/顾客要求时，是否按提供质量保证资料</w:t>
            </w:r>
          </w:p>
          <w:p>
            <w:pPr>
              <w:spacing w:line="240" w:lineRule="exact"/>
              <w:rPr>
                <w:rFonts w:ascii="宋体" w:hAnsi="宋体"/>
                <w:b/>
                <w:sz w:val="21"/>
                <w:szCs w:val="21"/>
              </w:rPr>
            </w:pPr>
            <w:r>
              <w:rPr>
                <w:rFonts w:hint="eastAsia"/>
                <w:color w:val="000000"/>
                <w:szCs w:val="22"/>
              </w:rPr>
              <w:t>4)售后服务:提交产品后，销售部是否去电话询问产品质量情况/顾客有上门服务要求时，是否在规定时间内予以答复并填写质量信息记录和顾客服务记录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300" w:lineRule="exact"/>
              <w:rPr>
                <w:rFonts w:ascii="宋体" w:hAnsi="宋体"/>
                <w:b/>
                <w:color w:val="auto"/>
                <w:sz w:val="21"/>
                <w:szCs w:val="21"/>
              </w:rPr>
            </w:pPr>
          </w:p>
          <w:p>
            <w:pPr>
              <w:spacing w:line="240" w:lineRule="exact"/>
              <w:rPr>
                <w:rFonts w:ascii="宋体" w:hAnsi="宋体"/>
                <w:b/>
                <w:sz w:val="21"/>
                <w:szCs w:val="21"/>
              </w:rPr>
            </w:pPr>
            <w:r>
              <w:rPr>
                <w:rFonts w:hint="eastAsia" w:ascii="宋体" w:hAnsi="宋体" w:cs="宋体"/>
                <w:color w:val="auto"/>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对不可接受风险（火灾</w:t>
            </w:r>
            <w:r>
              <w:rPr>
                <w:rFonts w:hint="eastAsia"/>
                <w:bCs/>
                <w:szCs w:val="21"/>
                <w:lang w:eastAsia="zh-CN"/>
              </w:rPr>
              <w:t>、</w:t>
            </w:r>
            <w:r>
              <w:rPr>
                <w:rFonts w:hint="eastAsia"/>
                <w:bCs/>
                <w:szCs w:val="21"/>
                <w:lang w:val="en-US" w:eastAsia="zh-CN"/>
              </w:rPr>
              <w:t>触电、意外伤害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1. .对质量/环境/职业健康安全目标指标进行定期监测/检查情况</w:t>
            </w:r>
          </w:p>
          <w:p>
            <w:pPr>
              <w:spacing w:line="240" w:lineRule="exact"/>
              <w:ind w:firstLine="100" w:firstLineChars="50"/>
              <w:rPr>
                <w:b/>
                <w:color w:val="auto"/>
                <w:sz w:val="20"/>
                <w:szCs w:val="20"/>
              </w:rPr>
            </w:pPr>
          </w:p>
          <w:p>
            <w:pPr>
              <w:spacing w:line="240" w:lineRule="exact"/>
              <w:ind w:firstLine="120" w:firstLineChars="50"/>
              <w:rPr>
                <w:rFonts w:ascii="宋体" w:hAnsi="宋体"/>
                <w:b/>
                <w:sz w:val="21"/>
                <w:szCs w:val="21"/>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2020年6</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2.顾客满意</w:t>
            </w:r>
          </w:p>
          <w:p>
            <w:pPr>
              <w:spacing w:line="240" w:lineRule="exact"/>
              <w:ind w:left="100" w:hanging="100" w:hangingChars="50"/>
              <w:rPr>
                <w:b/>
                <w:color w:val="auto"/>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auto"/>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auto"/>
                <w:sz w:val="20"/>
                <w:szCs w:val="20"/>
              </w:rPr>
            </w:pPr>
            <w:r>
              <w:rPr>
                <w:rFonts w:hint="eastAsia"/>
                <w:b/>
                <w:color w:val="auto"/>
                <w:sz w:val="20"/>
                <w:szCs w:val="20"/>
              </w:rPr>
              <w:t>3. 内审（包括内审策划审核方案中考虑拟审核的过程和区域的状况和重要性）</w:t>
            </w:r>
          </w:p>
          <w:p>
            <w:pPr>
              <w:spacing w:line="240" w:lineRule="exact"/>
              <w:rPr>
                <w:b/>
                <w:color w:val="auto"/>
                <w:spacing w:val="-8"/>
                <w:sz w:val="20"/>
                <w:szCs w:val="20"/>
              </w:rPr>
            </w:pPr>
          </w:p>
          <w:p>
            <w:pPr>
              <w:spacing w:line="240" w:lineRule="exact"/>
              <w:rPr>
                <w:rFonts w:ascii="宋体" w:hAnsi="宋体"/>
                <w:b/>
                <w:color w:val="auto"/>
                <w:sz w:val="21"/>
                <w:szCs w:val="21"/>
              </w:rPr>
            </w:pPr>
          </w:p>
          <w:p>
            <w:pPr>
              <w:spacing w:line="240" w:lineRule="exact"/>
              <w:rPr>
                <w:rFonts w:ascii="宋体" w:hAnsi="宋体"/>
                <w:b/>
                <w:sz w:val="21"/>
                <w:szCs w:val="21"/>
              </w:rPr>
            </w:pPr>
            <w:r>
              <w:rPr>
                <w:rFonts w:hint="eastAsia" w:ascii="宋体" w:hAnsi="宋体"/>
                <w:color w:val="auto"/>
                <w:szCs w:val="21"/>
              </w:rPr>
              <w:t>建立有《内部审核控制程序》，规定了内审频次一年一次，内审时间：</w:t>
            </w:r>
            <w:r>
              <w:rPr>
                <w:rFonts w:hint="eastAsia"/>
                <w:color w:val="auto"/>
              </w:rPr>
              <w:t>2020年</w:t>
            </w:r>
            <w:r>
              <w:rPr>
                <w:rFonts w:hint="eastAsia"/>
                <w:color w:val="auto"/>
                <w:lang w:val="en-US" w:eastAsia="zh-CN"/>
              </w:rPr>
              <w:t>7</w:t>
            </w:r>
            <w:r>
              <w:rPr>
                <w:rFonts w:hint="eastAsia"/>
                <w:color w:val="auto"/>
              </w:rPr>
              <w:t>月</w:t>
            </w:r>
            <w:r>
              <w:rPr>
                <w:rFonts w:hint="eastAsia"/>
                <w:color w:val="auto"/>
                <w:lang w:val="en-US" w:eastAsia="zh-CN"/>
              </w:rPr>
              <w:t>11</w:t>
            </w:r>
            <w:r>
              <w:rPr>
                <w:rFonts w:hint="eastAsia"/>
                <w:color w:val="auto"/>
              </w:rPr>
              <w:t>日</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auto"/>
                <w:sz w:val="20"/>
                <w:szCs w:val="20"/>
              </w:rPr>
            </w:pPr>
            <w:r>
              <w:rPr>
                <w:rFonts w:hint="eastAsia"/>
                <w:b/>
                <w:color w:val="auto"/>
                <w:sz w:val="20"/>
                <w:szCs w:val="20"/>
              </w:rPr>
              <w:t>4.管理评审（管理评审体系变更需求，纠正和预防措施、体系有效性等）</w:t>
            </w:r>
          </w:p>
          <w:p>
            <w:pPr>
              <w:spacing w:line="240" w:lineRule="exact"/>
              <w:rPr>
                <w:b/>
                <w:color w:val="auto"/>
                <w:sz w:val="20"/>
                <w:szCs w:val="20"/>
              </w:rPr>
            </w:pPr>
          </w:p>
          <w:p>
            <w:pPr>
              <w:rPr>
                <w:rFonts w:ascii="宋体" w:hAnsi="宋体"/>
                <w:b/>
                <w:sz w:val="21"/>
                <w:szCs w:val="21"/>
              </w:rPr>
            </w:pPr>
            <w:r>
              <w:rPr>
                <w:rFonts w:hint="eastAsia" w:ascii="宋体" w:hAnsi="宋体" w:cs="宋体"/>
                <w:color w:val="auto"/>
                <w:szCs w:val="21"/>
              </w:rPr>
              <w:t>管理评审频次为一年一次、本次管理评审于</w:t>
            </w:r>
            <w:r>
              <w:rPr>
                <w:rFonts w:hint="eastAsia"/>
                <w:color w:val="auto"/>
              </w:rPr>
              <w:t>2020年</w:t>
            </w:r>
            <w:r>
              <w:rPr>
                <w:rFonts w:hint="eastAsia"/>
                <w:color w:val="auto"/>
                <w:lang w:val="en-US" w:eastAsia="zh-CN"/>
              </w:rPr>
              <w:t>7</w:t>
            </w:r>
            <w:r>
              <w:rPr>
                <w:rFonts w:hint="eastAsia"/>
                <w:color w:val="auto"/>
              </w:rPr>
              <w:t>月2</w:t>
            </w:r>
            <w:r>
              <w:rPr>
                <w:rFonts w:hint="eastAsia"/>
                <w:color w:val="auto"/>
                <w:lang w:val="en-US" w:eastAsia="zh-CN"/>
              </w:rPr>
              <w:t>0</w:t>
            </w:r>
            <w:r>
              <w:rPr>
                <w:rFonts w:hint="eastAsia"/>
                <w:color w:val="auto"/>
              </w:rPr>
              <w:t>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3"/>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pStyle w:val="2"/>
              <w:numPr>
                <w:ilvl w:val="0"/>
                <w:numId w:val="0"/>
              </w:numPr>
              <w:ind w:left="0" w:leftChars="0" w:firstLine="0" w:firstLineChars="0"/>
              <w:rPr>
                <w:rFonts w:ascii="宋体" w:hAnsi="宋体"/>
                <w:b/>
                <w:sz w:val="21"/>
                <w:szCs w:val="21"/>
              </w:rPr>
            </w:pPr>
            <w:r>
              <w:rPr>
                <w:rFonts w:hint="eastAsia"/>
                <w:lang w:val="en-US" w:eastAsia="zh-CN"/>
              </w:rPr>
              <w:t>对噪音进行了监测，符合要求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ind w:firstLine="422" w:firstLineChars="200"/>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8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rPr>
                <w:rFonts w:hint="eastAsia"/>
              </w:rPr>
            </w:pPr>
            <w:r>
              <w:rPr>
                <w:rFonts w:hint="eastAsia"/>
              </w:rPr>
              <w:t>创新情况</w:t>
            </w:r>
          </w:p>
          <w:p>
            <w:pPr>
              <w:pStyle w:val="2"/>
              <w:numPr>
                <w:ilvl w:val="0"/>
                <w:numId w:val="0"/>
              </w:numPr>
              <w:rPr>
                <w:rFonts w:hint="default" w:eastAsia="宋体"/>
                <w:lang w:val="en-US" w:eastAsia="zh-CN"/>
              </w:rPr>
            </w:pPr>
            <w:r>
              <w:rPr>
                <w:rFonts w:hint="eastAsia"/>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0" w:leftChars="0" w:firstLine="0" w:firstLineChars="0"/>
              <w:rPr>
                <w:rFonts w:hint="eastAsia"/>
                <w:lang w:eastAsia="zh-CN"/>
              </w:rPr>
            </w:pPr>
            <w:r>
              <w:rPr>
                <w:rFonts w:hint="eastAsia"/>
              </w:rPr>
              <w:t>上次不符合的整改情况</w:t>
            </w:r>
            <w:r>
              <w:rPr>
                <w:rFonts w:hint="eastAsia"/>
                <w:lang w:eastAsia="zh-CN"/>
              </w:rPr>
              <w:t>：</w:t>
            </w:r>
          </w:p>
          <w:p>
            <w:pPr>
              <w:pStyle w:val="2"/>
              <w:numPr>
                <w:ilvl w:val="0"/>
                <w:numId w:val="0"/>
              </w:numPr>
              <w:ind w:leftChars="0"/>
              <w:rPr>
                <w:rFonts w:hint="default"/>
                <w:lang w:val="en-US" w:eastAsia="zh-CN"/>
              </w:rPr>
            </w:pPr>
            <w:r>
              <w:rPr>
                <w:rFonts w:hint="eastAsia"/>
                <w:lang w:val="en-US" w:eastAsia="zh-CN"/>
              </w:rPr>
              <w:t>上次不符合：</w:t>
            </w:r>
            <w:r>
              <w:rPr>
                <w:rFonts w:hint="eastAsia" w:ascii="宋体" w:hAnsi="宋体" w:eastAsia="方正仿宋简体"/>
                <w:sz w:val="24"/>
                <w:szCs w:val="24"/>
                <w:lang w:eastAsia="zh-CN"/>
              </w:rPr>
              <w:t>未提供向</w:t>
            </w:r>
            <w:r>
              <w:rPr>
                <w:rFonts w:hint="eastAsia" w:ascii="宋体" w:hAnsi="宋体" w:eastAsia="方正仿宋简体"/>
                <w:sz w:val="24"/>
                <w:szCs w:val="24"/>
                <w:lang w:val="en-US" w:eastAsia="zh-CN"/>
              </w:rPr>
              <w:t>采购</w:t>
            </w:r>
            <w:r>
              <w:rPr>
                <w:rFonts w:hint="eastAsia" w:ascii="宋体" w:hAnsi="宋体"/>
                <w:sz w:val="24"/>
                <w:lang w:eastAsia="zh-CN"/>
              </w:rPr>
              <w:t>相关方</w:t>
            </w:r>
            <w:r>
              <w:rPr>
                <w:rFonts w:hint="eastAsia" w:ascii="宋体" w:hAnsi="宋体"/>
                <w:sz w:val="24"/>
                <w:lang w:val="en-US" w:eastAsia="zh-CN"/>
              </w:rPr>
              <w:t>----海南</w:t>
            </w:r>
            <w:r>
              <w:rPr>
                <w:rFonts w:hint="eastAsia"/>
                <w:sz w:val="24"/>
                <w:u w:val="none"/>
              </w:rPr>
              <w:t>荣曜</w:t>
            </w:r>
            <w:r>
              <w:rPr>
                <w:rFonts w:hint="eastAsia" w:ascii="宋体" w:hAnsi="宋体"/>
                <w:sz w:val="24"/>
                <w:lang w:val="en-US" w:eastAsia="zh-CN"/>
              </w:rPr>
              <w:t>沉香产业发展</w:t>
            </w:r>
            <w:r>
              <w:rPr>
                <w:rFonts w:hint="eastAsia" w:ascii="宋体" w:hAnsi="宋体"/>
                <w:sz w:val="24"/>
                <w:lang w:eastAsia="zh-CN"/>
              </w:rPr>
              <w:t>有限公司</w:t>
            </w:r>
            <w:r>
              <w:rPr>
                <w:rFonts w:hint="eastAsia" w:ascii="宋体" w:hAnsi="宋体"/>
                <w:sz w:val="24"/>
                <w:lang w:val="en-US" w:eastAsia="zh-CN"/>
              </w:rPr>
              <w:t>发放</w:t>
            </w:r>
            <w:r>
              <w:rPr>
                <w:rFonts w:hint="eastAsia" w:ascii="宋体" w:hAnsi="宋体"/>
                <w:sz w:val="24"/>
                <w:lang w:eastAsia="zh-CN"/>
              </w:rPr>
              <w:t>环境、职业健康安全告知书</w:t>
            </w:r>
            <w:r>
              <w:rPr>
                <w:rFonts w:hint="eastAsia" w:ascii="宋体" w:hAnsi="宋体"/>
                <w:sz w:val="24"/>
                <w:lang w:val="en-US" w:eastAsia="zh-CN"/>
              </w:rPr>
              <w:t>证据，</w:t>
            </w:r>
            <w:r>
              <w:rPr>
                <w:rFonts w:hint="eastAsia"/>
                <w:lang w:val="en-US" w:eastAsia="zh-CN"/>
              </w:rPr>
              <w:t>已经整改</w:t>
            </w:r>
            <w:bookmarkStart w:id="25" w:name="_GoBack"/>
            <w:bookmarkEnd w:id="25"/>
            <w:r>
              <w:rPr>
                <w:rFonts w:hint="eastAsia"/>
                <w:lang w:val="en-US" w:eastAsia="zh-CN"/>
              </w:rPr>
              <w:t>完成，本次未出现，整改有效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ascii="宋体" w:hAnsi="宋体"/>
                <w:szCs w:val="21"/>
              </w:rPr>
              <w:t>海南黎母沉香产业发展有限公司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inline distT="0" distB="0" distL="114300" distR="114300">
            <wp:extent cx="904875" cy="1295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129540"/>
                    </a:xfrm>
                    <a:prstGeom prst="rect">
                      <a:avLst/>
                    </a:prstGeom>
                    <a:noFill/>
                    <a:ln>
                      <a:noFill/>
                    </a:ln>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r>
        <w:drawing>
          <wp:inline distT="0" distB="0" distL="114300" distR="114300">
            <wp:extent cx="904875" cy="224790"/>
            <wp:effectExtent l="0" t="0" r="952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224790"/>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2020.9.18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904875" cy="396240"/>
            <wp:effectExtent l="0" t="0" r="952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5D1587"/>
    <w:multiLevelType w:val="singleLevel"/>
    <w:tmpl w:val="C75D1587"/>
    <w:lvl w:ilvl="0" w:tentative="0">
      <w:start w:val="5"/>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3E3348D5"/>
    <w:multiLevelType w:val="singleLevel"/>
    <w:tmpl w:val="3E3348D5"/>
    <w:lvl w:ilvl="0" w:tentative="0">
      <w:start w:val="2"/>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7F77B068"/>
    <w:multiLevelType w:val="singleLevel"/>
    <w:tmpl w:val="7F77B068"/>
    <w:lvl w:ilvl="0" w:tentative="0">
      <w:start w:val="3"/>
      <w:numFmt w:val="decimal"/>
      <w:suff w:val="space"/>
      <w:lvlText w:val="%1."/>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501047"/>
    <w:rsid w:val="583253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2020-09-19T01:59:28Z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