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5" w:firstLineChars="3209"/>
        <w:rPr>
          <w:rFonts w:hint="eastAsia"/>
          <w:b/>
          <w:color w:val="000000" w:themeColor="text1"/>
          <w:sz w:val="21"/>
          <w:szCs w:val="21"/>
        </w:rPr>
      </w:pPr>
    </w:p>
    <w:p>
      <w:pPr>
        <w:spacing w:after="120" w:afterLines="50" w:line="240" w:lineRule="exact"/>
        <w:ind w:firstLine="6765" w:firstLineChars="3209"/>
        <w:rPr>
          <w:rFonts w:hint="eastAsia"/>
          <w:b/>
          <w:color w:val="000000" w:themeColor="text1"/>
          <w:sz w:val="21"/>
          <w:szCs w:val="21"/>
        </w:rPr>
      </w:pPr>
    </w:p>
    <w:p>
      <w:pPr>
        <w:spacing w:after="120" w:afterLines="50" w:line="240" w:lineRule="exact"/>
        <w:ind w:firstLine="6765" w:firstLineChars="3209"/>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0491-2020-QEO</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宜春钽铌矿有限公司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Arial" w:hAnsi="Arial" w:eastAsia="宋体" w:cs="Arial"/>
          <w:i w:val="0"/>
          <w:caps w:val="0"/>
          <w:color w:val="434343"/>
          <w:spacing w:val="0"/>
          <w:sz w:val="21"/>
          <w:szCs w:val="21"/>
          <w:shd w:val="clear" w:fill="FCFCFE"/>
        </w:rPr>
        <w:t>Yichun Tantalum &amp; Niobium Mining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江西省宜春市袁州区新坊镇花桥村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336000</w:t>
      </w:r>
      <w:bookmarkEnd w:id="4"/>
    </w:p>
    <w:p>
      <w:pPr>
        <w:pStyle w:val="2"/>
        <w:spacing w:line="480" w:lineRule="auto"/>
        <w:ind w:firstLine="632" w:firstLineChars="286"/>
        <w:rPr>
          <w:rFonts w:hint="eastAsia" w:ascii="Arial" w:hAnsi="Arial" w:cs="Arial"/>
          <w:i w:val="0"/>
          <w:caps w:val="0"/>
          <w:color w:val="434343"/>
          <w:spacing w:val="0"/>
          <w:sz w:val="21"/>
          <w:szCs w:val="21"/>
          <w:shd w:val="clear" w:fill="FCFCFE"/>
          <w:lang w:val="en-US" w:eastAsia="zh-CN"/>
        </w:rPr>
      </w:pPr>
      <w:r>
        <w:rPr>
          <w:rFonts w:hint="eastAsia"/>
          <w:b/>
          <w:color w:val="000000" w:themeColor="text1"/>
          <w:sz w:val="22"/>
          <w:szCs w:val="22"/>
        </w:rPr>
        <w:t>(英文)：</w:t>
      </w:r>
      <w:r>
        <w:rPr>
          <w:rFonts w:ascii="Arial" w:hAnsi="Arial" w:eastAsia="宋体" w:cs="Arial"/>
          <w:i w:val="0"/>
          <w:caps w:val="0"/>
          <w:color w:val="434343"/>
          <w:spacing w:val="0"/>
          <w:sz w:val="21"/>
          <w:szCs w:val="21"/>
          <w:shd w:val="clear" w:fill="FCFCFE"/>
        </w:rPr>
        <w:t>Huaqiao Village, Xinfang Town, Yuanzhou District, Yichun City, Jiangxi Province</w:t>
      </w:r>
      <w:r>
        <w:rPr>
          <w:rFonts w:hint="eastAsia" w:ascii="Arial" w:hAnsi="Arial" w:cs="Arial"/>
          <w:i w:val="0"/>
          <w:caps w:val="0"/>
          <w:color w:val="434343"/>
          <w:spacing w:val="0"/>
          <w:sz w:val="21"/>
          <w:szCs w:val="21"/>
          <w:shd w:val="clear" w:fill="FCFCFE"/>
          <w:lang w:val="en-US" w:eastAsia="zh-CN"/>
        </w:rPr>
        <w:t xml:space="preserve"> </w:t>
      </w:r>
    </w:p>
    <w:p>
      <w:pPr>
        <w:pStyle w:val="2"/>
        <w:spacing w:line="480" w:lineRule="auto"/>
        <w:ind w:firstLine="600" w:firstLineChars="286"/>
        <w:rPr>
          <w:rFonts w:hint="default" w:eastAsia="宋体"/>
          <w:b/>
          <w:color w:val="000000" w:themeColor="text1"/>
          <w:sz w:val="22"/>
          <w:szCs w:val="22"/>
          <w:u w:val="single"/>
          <w:lang w:val="en-US" w:eastAsia="zh-CN"/>
        </w:rPr>
      </w:pPr>
      <w:r>
        <w:rPr>
          <w:rFonts w:hint="eastAsia" w:ascii="Arial" w:hAnsi="Arial" w:cs="Arial"/>
          <w:i w:val="0"/>
          <w:caps w:val="0"/>
          <w:color w:val="434343"/>
          <w:spacing w:val="0"/>
          <w:sz w:val="21"/>
          <w:szCs w:val="21"/>
          <w:shd w:val="clear" w:fill="FCFCFE"/>
          <w:lang w:val="en-US" w:eastAsia="zh-CN"/>
        </w:rPr>
        <w:t xml:space="preserve"> </w:t>
      </w:r>
      <w:r>
        <w:rPr>
          <w:rFonts w:ascii="Arial" w:hAnsi="Arial" w:eastAsia="宋体" w:cs="Arial"/>
          <w:i w:val="0"/>
          <w:caps w:val="0"/>
          <w:color w:val="434343"/>
          <w:spacing w:val="0"/>
          <w:sz w:val="21"/>
          <w:szCs w:val="21"/>
          <w:shd w:val="clear" w:fill="FCFCFE"/>
        </w:rPr>
        <w:t>Zip code: 336000</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江西省宜春市袁州区新坊镇花桥村</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336000</w:t>
      </w:r>
      <w:bookmarkEnd w:id="6"/>
    </w:p>
    <w:p>
      <w:pPr>
        <w:pStyle w:val="2"/>
        <w:spacing w:line="480" w:lineRule="auto"/>
        <w:ind w:firstLine="632" w:firstLineChars="286"/>
        <w:rPr>
          <w:rFonts w:hint="eastAsia" w:ascii="Arial" w:hAnsi="Arial" w:cs="Arial"/>
          <w:i w:val="0"/>
          <w:caps w:val="0"/>
          <w:color w:val="434343"/>
          <w:spacing w:val="0"/>
          <w:sz w:val="21"/>
          <w:szCs w:val="21"/>
          <w:shd w:val="clear" w:fill="FCFCFE"/>
          <w:lang w:val="en-US" w:eastAsia="zh-CN"/>
        </w:rPr>
      </w:pPr>
      <w:r>
        <w:rPr>
          <w:rFonts w:hint="eastAsia"/>
          <w:b/>
          <w:color w:val="000000" w:themeColor="text1"/>
          <w:sz w:val="22"/>
          <w:szCs w:val="22"/>
        </w:rPr>
        <w:t>(英文)：</w:t>
      </w:r>
      <w:r>
        <w:rPr>
          <w:rFonts w:ascii="Arial" w:hAnsi="Arial" w:eastAsia="宋体" w:cs="Arial"/>
          <w:i w:val="0"/>
          <w:caps w:val="0"/>
          <w:color w:val="434343"/>
          <w:spacing w:val="0"/>
          <w:sz w:val="21"/>
          <w:szCs w:val="21"/>
          <w:shd w:val="clear" w:fill="FCFCFE"/>
        </w:rPr>
        <w:t>Huaqiao Village, Xinfang Town, Yuanzhou District, Yichun City, Jiangxi Province</w:t>
      </w:r>
      <w:r>
        <w:rPr>
          <w:rFonts w:hint="eastAsia" w:ascii="Arial" w:hAnsi="Arial" w:cs="Arial"/>
          <w:i w:val="0"/>
          <w:caps w:val="0"/>
          <w:color w:val="434343"/>
          <w:spacing w:val="0"/>
          <w:sz w:val="21"/>
          <w:szCs w:val="21"/>
          <w:shd w:val="clear" w:fill="FCFCFE"/>
          <w:lang w:val="en-US" w:eastAsia="zh-CN"/>
        </w:rPr>
        <w:t xml:space="preserve"> </w:t>
      </w:r>
    </w:p>
    <w:p>
      <w:pPr>
        <w:pStyle w:val="2"/>
        <w:spacing w:line="480" w:lineRule="auto"/>
        <w:ind w:firstLine="600" w:firstLineChars="286"/>
        <w:rPr>
          <w:b/>
          <w:color w:val="000000" w:themeColor="text1"/>
          <w:sz w:val="22"/>
          <w:szCs w:val="22"/>
          <w:u w:val="single"/>
        </w:rPr>
      </w:pPr>
      <w:r>
        <w:rPr>
          <w:rFonts w:hint="eastAsia" w:ascii="Arial" w:hAnsi="Arial" w:cs="Arial"/>
          <w:i w:val="0"/>
          <w:caps w:val="0"/>
          <w:color w:val="434343"/>
          <w:spacing w:val="0"/>
          <w:sz w:val="21"/>
          <w:szCs w:val="21"/>
          <w:shd w:val="clear" w:fill="FCFCFE"/>
          <w:lang w:val="en-US" w:eastAsia="zh-CN"/>
        </w:rPr>
        <w:t xml:space="preserve"> </w:t>
      </w:r>
      <w:r>
        <w:rPr>
          <w:rFonts w:ascii="Arial" w:hAnsi="Arial" w:eastAsia="宋体" w:cs="Arial"/>
          <w:i w:val="0"/>
          <w:caps w:val="0"/>
          <w:color w:val="434343"/>
          <w:spacing w:val="0"/>
          <w:sz w:val="21"/>
          <w:szCs w:val="21"/>
          <w:shd w:val="clear" w:fill="FCFCFE"/>
        </w:rPr>
        <w:t>Zip code: 336000</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336000</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r>
        <w:rPr>
          <w:rFonts w:hint="eastAsia" w:ascii="Arial" w:hAnsi="Arial" w:cs="Arial"/>
          <w:i w:val="0"/>
          <w:caps w:val="0"/>
          <w:color w:val="434343"/>
          <w:spacing w:val="0"/>
          <w:sz w:val="21"/>
          <w:szCs w:val="21"/>
          <w:shd w:val="clear" w:fill="FCFCFE"/>
          <w:lang w:val="en-US" w:eastAsia="zh-CN"/>
        </w:rPr>
        <w:t xml:space="preserve"> </w:t>
      </w:r>
      <w:r>
        <w:rPr>
          <w:rFonts w:ascii="Arial" w:hAnsi="Arial" w:eastAsia="宋体" w:cs="Arial"/>
          <w:i w:val="0"/>
          <w:caps w:val="0"/>
          <w:color w:val="434343"/>
          <w:spacing w:val="0"/>
          <w:sz w:val="21"/>
          <w:szCs w:val="21"/>
          <w:shd w:val="clear" w:fill="FCFCFE"/>
        </w:rPr>
        <w:t>Zip code: 336000</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91360900161002680M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13979578200</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袁明才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1153</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Q：钽铌矿、锂云母、(锂、铝)长石、高岭土（瓷土）的采选加工与销售</w:t>
      </w:r>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w:t>
      </w:r>
      <w:r>
        <w:rPr>
          <w:rFonts w:ascii="Arial" w:hAnsi="Arial" w:eastAsia="宋体" w:cs="Arial"/>
          <w:i w:val="0"/>
          <w:caps w:val="0"/>
          <w:color w:val="434343"/>
          <w:spacing w:val="0"/>
          <w:sz w:val="21"/>
          <w:szCs w:val="21"/>
          <w:shd w:val="clear" w:fill="FCFCFE"/>
        </w:rPr>
        <w:t>Tantalum-niobium ore, Lithium Mica, (lithium, aluminum) feldspar, kaolinite (porcelain clay) mining and processing and marketing</w:t>
      </w:r>
    </w:p>
    <w:p>
      <w:pPr>
        <w:pStyle w:val="2"/>
        <w:spacing w:line="480" w:lineRule="auto"/>
        <w:ind w:firstLine="0"/>
        <w:rPr>
          <w:rFonts w:hint="eastAsia"/>
          <w:b/>
          <w:color w:val="000000" w:themeColor="text1"/>
          <w:sz w:val="22"/>
          <w:szCs w:val="22"/>
        </w:rPr>
      </w:pPr>
      <w:r>
        <w:rPr>
          <w:rFonts w:hint="eastAsia"/>
          <w:b/>
          <w:color w:val="000000" w:themeColor="text1"/>
          <w:sz w:val="22"/>
          <w:szCs w:val="22"/>
        </w:rPr>
        <w:t>E：钽铌矿、锂云母、(锂、铝)长石、高岭土（瓷土）的采选加工与销售</w:t>
      </w:r>
      <w:r>
        <w:rPr>
          <w:rFonts w:hint="eastAsia"/>
          <w:b/>
          <w:color w:val="000000" w:themeColor="text1"/>
          <w:sz w:val="22"/>
          <w:szCs w:val="22"/>
          <w:lang w:val="en-US" w:eastAsia="zh-CN"/>
        </w:rPr>
        <w:t>所涉及的</w:t>
      </w:r>
      <w:r>
        <w:rPr>
          <w:rFonts w:hint="eastAsia"/>
          <w:b/>
          <w:color w:val="000000" w:themeColor="text1"/>
          <w:sz w:val="22"/>
          <w:szCs w:val="22"/>
        </w:rPr>
        <w:t>环境管理活动</w:t>
      </w:r>
    </w:p>
    <w:p>
      <w:pPr>
        <w:pStyle w:val="2"/>
        <w:spacing w:line="480" w:lineRule="auto"/>
        <w:ind w:left="0" w:leftChars="0" w:firstLine="0" w:firstLineChars="0"/>
        <w:rPr>
          <w:b/>
          <w:color w:val="000000" w:themeColor="text1"/>
          <w:sz w:val="22"/>
          <w:szCs w:val="22"/>
          <w:u w:val="single"/>
        </w:rPr>
      </w:pPr>
      <w:bookmarkStart w:id="16" w:name="_GoBack"/>
      <w:r>
        <w:rPr>
          <w:rFonts w:hint="eastAsia" w:eastAsia="宋体"/>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-75565</wp:posOffset>
            </wp:positionV>
            <wp:extent cx="6404610" cy="8763635"/>
            <wp:effectExtent l="0" t="0" r="8890" b="12065"/>
            <wp:wrapNone/>
            <wp:docPr id="2" name="图片 1" descr="doc02535120200921091027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oc02535120200921091027_001"/>
                    <pic:cNvPicPr>
                      <a:picLocks noChangeAspect="1"/>
                    </pic:cNvPicPr>
                  </pic:nvPicPr>
                  <pic:blipFill>
                    <a:blip r:embed="rId10"/>
                    <a:stretch>
                      <a:fillRect/>
                    </a:stretch>
                  </pic:blipFill>
                  <pic:spPr>
                    <a:xfrm>
                      <a:off x="0" y="0"/>
                      <a:ext cx="6404610" cy="8763635"/>
                    </a:xfrm>
                    <a:prstGeom prst="rect">
                      <a:avLst/>
                    </a:prstGeom>
                    <a:noFill/>
                    <a:ln>
                      <a:noFill/>
                    </a:ln>
                  </pic:spPr>
                </pic:pic>
              </a:graphicData>
            </a:graphic>
          </wp:anchor>
        </w:drawing>
      </w:r>
      <w:bookmarkEnd w:id="16"/>
      <w:r>
        <w:rPr>
          <w:rFonts w:hint="eastAsia"/>
          <w:b/>
          <w:color w:val="000000" w:themeColor="text1"/>
          <w:sz w:val="22"/>
          <w:szCs w:val="22"/>
        </w:rPr>
        <w:t>(英文)：</w:t>
      </w:r>
      <w:r>
        <w:rPr>
          <w:rFonts w:ascii="Arial" w:hAnsi="Arial" w:eastAsia="宋体" w:cs="Arial"/>
          <w:i w:val="0"/>
          <w:caps w:val="0"/>
          <w:color w:val="434343"/>
          <w:spacing w:val="0"/>
          <w:sz w:val="21"/>
          <w:szCs w:val="21"/>
          <w:shd w:val="clear" w:fill="FCFCFE"/>
        </w:rPr>
        <w:t>Environmental Management activities involved in the mining, processing and marketing of tantalum-niobium ore, lepidolite, feldspar (lithium, aluminum) and Kaolinite (China Clay)</w:t>
      </w:r>
    </w:p>
    <w:p>
      <w:pPr>
        <w:pStyle w:val="2"/>
        <w:spacing w:line="480" w:lineRule="auto"/>
        <w:ind w:firstLine="0"/>
        <w:rPr>
          <w:rFonts w:hint="eastAsia"/>
          <w:b/>
          <w:color w:val="000000" w:themeColor="text1"/>
          <w:sz w:val="22"/>
          <w:szCs w:val="22"/>
        </w:rPr>
      </w:pPr>
      <w:r>
        <w:rPr>
          <w:rFonts w:hint="eastAsia"/>
          <w:b/>
          <w:color w:val="000000" w:themeColor="text1"/>
          <w:sz w:val="22"/>
          <w:szCs w:val="22"/>
        </w:rPr>
        <w:t>O：钽铌矿、锂云母、(锂、铝)长石、高岭土（瓷土）的采选加工与销售</w:t>
      </w:r>
      <w:r>
        <w:rPr>
          <w:rFonts w:hint="eastAsia"/>
          <w:b/>
          <w:color w:val="000000" w:themeColor="text1"/>
          <w:sz w:val="22"/>
          <w:szCs w:val="22"/>
          <w:lang w:val="en-US" w:eastAsia="zh-CN"/>
        </w:rPr>
        <w:t>所涉及的</w:t>
      </w:r>
      <w:r>
        <w:rPr>
          <w:rFonts w:hint="eastAsia"/>
          <w:b/>
          <w:color w:val="000000" w:themeColor="text1"/>
          <w:sz w:val="22"/>
          <w:szCs w:val="22"/>
        </w:rPr>
        <w:t>职业健康安全管理活动</w:t>
      </w:r>
      <w:bookmarkEnd w:id="15"/>
    </w:p>
    <w:p>
      <w:pPr>
        <w:pStyle w:val="2"/>
        <w:spacing w:line="480" w:lineRule="auto"/>
        <w:ind w:left="0" w:leftChars="0" w:firstLine="0" w:firstLineChars="0"/>
        <w:rPr>
          <w:rFonts w:hint="eastAsia"/>
          <w:b/>
          <w:color w:val="000000" w:themeColor="text1"/>
          <w:sz w:val="22"/>
          <w:szCs w:val="22"/>
        </w:rPr>
      </w:pPr>
      <w:r>
        <w:rPr>
          <w:rFonts w:hint="eastAsia"/>
          <w:b/>
          <w:color w:val="000000" w:themeColor="text1"/>
          <w:sz w:val="22"/>
          <w:szCs w:val="22"/>
        </w:rPr>
        <w:t>(英文)：</w:t>
      </w:r>
      <w:r>
        <w:rPr>
          <w:rFonts w:ascii="Arial" w:hAnsi="Arial" w:eastAsia="宋体" w:cs="Arial"/>
          <w:i w:val="0"/>
          <w:caps w:val="0"/>
          <w:color w:val="434343"/>
          <w:spacing w:val="0"/>
          <w:sz w:val="21"/>
          <w:szCs w:val="21"/>
          <w:shd w:val="clear" w:fill="FCFCFE"/>
        </w:rPr>
        <w:t>Tantalum-niobium ore, lepidolite, (lithium, aluminum) feldspar, kaolinite (porcelain clay) mining and processing and marketing involved in occupational health and safety management activities</w:t>
      </w: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E719D3"/>
    <w:rsid w:val="07AC0AC9"/>
    <w:rsid w:val="163402F8"/>
    <w:rsid w:val="706F3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2020-09-22T12:40:53Z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