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办公室、人力企管部、监察保卫部、财务部、生产技术部、安全环保部、物资部、销售部、采矿场、钟家市选矿厂、坪石选矿厂、运矿车间、机修厂、汽车队，</w:t>
            </w:r>
            <w:r>
              <w:rPr>
                <w:rFonts w:hint="eastAsia"/>
                <w:sz w:val="24"/>
                <w:szCs w:val="24"/>
              </w:rPr>
              <w:t xml:space="preserve"> 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郭文萍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伍光华、姜海军、张鹏、陈芳、王志慧</w:t>
            </w:r>
            <w:r>
              <w:rPr>
                <w:rFonts w:hint="eastAsia"/>
                <w:sz w:val="24"/>
                <w:szCs w:val="24"/>
              </w:rPr>
              <w:t xml:space="preserve">  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2020.9.14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>
            <w:pPr>
              <w:pStyle w:val="13"/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ind w:firstLine="210" w:firstLineChars="100"/>
            </w:pPr>
            <w:bookmarkStart w:id="0" w:name="组织名称"/>
            <w:r>
              <w:rPr>
                <w:color w:val="000000"/>
                <w:szCs w:val="21"/>
              </w:rPr>
              <w:t>公司</w:t>
            </w:r>
            <w:bookmarkEnd w:id="0"/>
            <w:r>
              <w:rPr>
                <w:rFonts w:hint="eastAsia"/>
              </w:rPr>
              <w:t>主要从事</w:t>
            </w:r>
            <w:r>
              <w:t>钽铌矿、锂云母、(锂、铝)长石、高岭土（瓷土）的采选加工与销售</w:t>
            </w:r>
          </w:p>
          <w:p>
            <w:pPr>
              <w:tabs>
                <w:tab w:val="left" w:pos="426"/>
              </w:tabs>
              <w:spacing w:line="44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提供了营业执照</w:t>
            </w:r>
          </w:p>
          <w:p>
            <w:pPr>
              <w:tabs>
                <w:tab w:val="left" w:pos="426"/>
              </w:tabs>
              <w:spacing w:line="440" w:lineRule="exact"/>
              <w:ind w:firstLine="420" w:firstLineChars="200"/>
            </w:pPr>
            <w:r>
              <w:rPr>
                <w:rFonts w:hint="eastAsia" w:ascii="宋体" w:hAnsi="宋体"/>
                <w:bCs/>
                <w:szCs w:val="21"/>
              </w:rPr>
              <w:t>现场确认范围：</w:t>
            </w:r>
          </w:p>
          <w:p>
            <w:r>
              <w:rPr>
                <w:rFonts w:hint="eastAsia"/>
                <w:lang w:val="en-US" w:eastAsia="zh-CN"/>
              </w:rPr>
              <w:t>Q：</w:t>
            </w:r>
            <w:r>
              <w:t>钽铌矿、锂云母、(锂、铝)长石、高岭土（瓷土）的采选加工与销售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r>
              <w:rPr>
                <w:rFonts w:hint="eastAsia"/>
              </w:rPr>
              <w:t>E：</w:t>
            </w:r>
            <w:r>
              <w:t>钽铌矿、锂云母、(锂、铝)长石、高岭土（瓷土）的采选加工与销售</w:t>
            </w:r>
            <w:r>
              <w:rPr>
                <w:rFonts w:hint="eastAsia"/>
                <w:lang w:val="en-US" w:eastAsia="zh-CN"/>
              </w:rPr>
              <w:t>所涉及的</w:t>
            </w:r>
            <w:r>
              <w:t>环境管理活动</w:t>
            </w:r>
          </w:p>
          <w:p>
            <w:pPr>
              <w:spacing w:line="240" w:lineRule="exact"/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O：</w:t>
            </w:r>
            <w:r>
              <w:t>钽铌矿、锂云母、(锂、铝)长石、</w:t>
            </w:r>
            <w:bookmarkStart w:id="1" w:name="_GoBack"/>
            <w:bookmarkEnd w:id="1"/>
            <w:r>
              <w:t>高岭土（瓷土）的采选加工与销售</w:t>
            </w:r>
            <w:r>
              <w:rPr>
                <w:rFonts w:hint="eastAsia"/>
                <w:lang w:val="en-US" w:eastAsia="zh-CN"/>
              </w:rPr>
              <w:t>所涉及的</w:t>
            </w:r>
            <w:r>
              <w:t>职业健康安全管理活动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质量、</w:t>
            </w:r>
            <w:r>
              <w:rPr>
                <w:rFonts w:hint="eastAsia" w:ascii="宋体" w:hAnsi="宋体"/>
                <w:bCs/>
                <w:szCs w:val="21"/>
              </w:rPr>
              <w:t>环境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>职业健康安全管理体系于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20.5.15</w:t>
            </w:r>
            <w:r>
              <w:rPr>
                <w:rFonts w:hint="eastAsia" w:asci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</w:rPr>
              <w:t>建立并正式实施。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提供了体系文件，初步询问各部门相关职能及过程要求，与文件相符合，二阶段</w:t>
            </w:r>
            <w:r>
              <w:rPr>
                <w:rFonts w:hint="eastAsia"/>
                <w:color w:val="000000"/>
                <w:szCs w:val="21"/>
              </w:rPr>
              <w:t>进行进一步关注。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tabs>
                <w:tab w:val="right" w:pos="1038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公司的</w:t>
            </w:r>
            <w:r>
              <w:rPr>
                <w:rFonts w:hint="eastAsia"/>
                <w:szCs w:val="21"/>
                <w:lang w:val="en-US" w:eastAsia="zh-CN"/>
              </w:rPr>
              <w:t>质量、</w:t>
            </w:r>
            <w:r>
              <w:rPr>
                <w:rFonts w:hint="eastAsia"/>
                <w:szCs w:val="21"/>
              </w:rPr>
              <w:t>环境和职业健康安全的方针：</w:t>
            </w:r>
          </w:p>
          <w:p>
            <w:pPr>
              <w:tabs>
                <w:tab w:val="right" w:pos="10380"/>
              </w:tabs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hint="default" w:ascii="黑体" w:hAnsi="黑体" w:eastAsia="黑体" w:cs="黑体"/>
                <w:color w:val="auto"/>
              </w:rPr>
              <w:t>精益求精，科学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规范</w:t>
            </w:r>
            <w:r>
              <w:rPr>
                <w:rFonts w:hint="default" w:ascii="黑体" w:hAnsi="黑体" w:eastAsia="黑体" w:cs="黑体"/>
                <w:color w:val="auto"/>
              </w:rPr>
              <w:t>，持续改进。以人为本，安全高效，绿色发展</w:t>
            </w:r>
          </w:p>
          <w:p>
            <w:pPr>
              <w:pStyle w:val="2"/>
              <w:spacing w:line="41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管理目标：</w:t>
            </w:r>
          </w:p>
          <w:p>
            <w:pPr>
              <w:spacing w:line="400" w:lineRule="exact"/>
              <w:ind w:left="862"/>
              <w:rPr>
                <w:rFonts w:ascii="宋体" w:hAnsi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1"/>
                <w:szCs w:val="21"/>
              </w:rPr>
              <w:t>质量目标：</w:t>
            </w:r>
          </w:p>
          <w:tbl>
            <w:tblPr>
              <w:tblStyle w:val="7"/>
              <w:tblpPr w:leftFromText="180" w:rightFromText="180" w:vertAnchor="text" w:horzAnchor="page" w:tblpX="853" w:tblpY="302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20"/>
              <w:gridCol w:w="2062"/>
              <w:gridCol w:w="1350"/>
              <w:gridCol w:w="1140"/>
              <w:gridCol w:w="124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220" w:type="dxa"/>
                  <w:vMerge w:val="restart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产品名称</w:t>
                  </w:r>
                </w:p>
              </w:tc>
              <w:tc>
                <w:tcPr>
                  <w:tcW w:w="5800" w:type="dxa"/>
                  <w:gridSpan w:val="4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产品质量指标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220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6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Fe</w:t>
                  </w: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subscript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O</w:t>
                  </w: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subscript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（%）</w:t>
                  </w:r>
                </w:p>
              </w:tc>
              <w:tc>
                <w:tcPr>
                  <w:tcW w:w="135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水分（%）</w:t>
                  </w:r>
                </w:p>
              </w:tc>
              <w:tc>
                <w:tcPr>
                  <w:tcW w:w="11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Li</w:t>
                  </w: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subscript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O(%)</w:t>
                  </w:r>
                </w:p>
              </w:tc>
              <w:tc>
                <w:tcPr>
                  <w:tcW w:w="124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Ta</w:t>
                  </w: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subscript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O</w:t>
                  </w: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subscript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(%)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22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锂云母（散料）</w:t>
                  </w:r>
                </w:p>
              </w:tc>
              <w:tc>
                <w:tcPr>
                  <w:tcW w:w="2062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5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≤22.0</w:t>
                  </w:r>
                </w:p>
              </w:tc>
              <w:tc>
                <w:tcPr>
                  <w:tcW w:w="114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≥3.0</w:t>
                  </w:r>
                </w:p>
              </w:tc>
              <w:tc>
                <w:tcPr>
                  <w:tcW w:w="1248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22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粗长石（散料）</w:t>
                  </w:r>
                </w:p>
              </w:tc>
              <w:tc>
                <w:tcPr>
                  <w:tcW w:w="2062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不超过原矿石</w:t>
                  </w:r>
                </w:p>
              </w:tc>
              <w:tc>
                <w:tcPr>
                  <w:tcW w:w="135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≤19.0</w:t>
                  </w:r>
                </w:p>
              </w:tc>
              <w:tc>
                <w:tcPr>
                  <w:tcW w:w="114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8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22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细长石（散料）</w:t>
                  </w:r>
                </w:p>
              </w:tc>
              <w:tc>
                <w:tcPr>
                  <w:tcW w:w="2062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5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≤22.5</w:t>
                  </w:r>
                </w:p>
              </w:tc>
              <w:tc>
                <w:tcPr>
                  <w:tcW w:w="114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8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22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高锂长石（散料）</w:t>
                  </w:r>
                </w:p>
              </w:tc>
              <w:tc>
                <w:tcPr>
                  <w:tcW w:w="2062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5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≥0.6</w:t>
                  </w:r>
                </w:p>
              </w:tc>
              <w:tc>
                <w:tcPr>
                  <w:tcW w:w="1248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22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钽铌精矿（散料）</w:t>
                  </w:r>
                </w:p>
              </w:tc>
              <w:tc>
                <w:tcPr>
                  <w:tcW w:w="2062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5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8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vertAlign w:val="baseline"/>
                      <w:lang w:val="en-US" w:eastAsia="zh-CN"/>
                    </w:rPr>
                    <w:t>≥18.0</w:t>
                  </w:r>
                </w:p>
              </w:tc>
            </w:tr>
          </w:tbl>
          <w:p>
            <w:pPr>
              <w:spacing w:line="400" w:lineRule="exact"/>
              <w:ind w:left="862"/>
              <w:rPr>
                <w:rFonts w:hint="eastAsia" w:ascii="宋体" w:hAnsi="宋体"/>
                <w:b/>
                <w:bCs/>
                <w:spacing w:val="20"/>
                <w:sz w:val="21"/>
                <w:szCs w:val="21"/>
              </w:rPr>
            </w:pPr>
          </w:p>
          <w:p>
            <w:pPr>
              <w:spacing w:line="400" w:lineRule="exact"/>
              <w:ind w:left="862"/>
              <w:rPr>
                <w:rFonts w:hint="eastAsia" w:ascii="宋体" w:hAnsi="宋体"/>
                <w:b/>
                <w:bCs/>
                <w:spacing w:val="20"/>
                <w:sz w:val="21"/>
                <w:szCs w:val="21"/>
              </w:rPr>
            </w:pPr>
          </w:p>
          <w:p>
            <w:pPr>
              <w:spacing w:line="400" w:lineRule="exact"/>
              <w:ind w:left="862"/>
              <w:rPr>
                <w:rFonts w:hint="eastAsia" w:ascii="宋体" w:hAnsi="宋体"/>
                <w:b/>
                <w:bCs/>
                <w:spacing w:val="20"/>
                <w:sz w:val="21"/>
                <w:szCs w:val="21"/>
              </w:rPr>
            </w:pPr>
          </w:p>
          <w:p>
            <w:pPr>
              <w:spacing w:line="400" w:lineRule="exact"/>
              <w:ind w:left="862"/>
              <w:rPr>
                <w:rFonts w:hint="eastAsia" w:ascii="宋体" w:hAnsi="宋体"/>
                <w:b/>
                <w:bCs/>
                <w:spacing w:val="20"/>
                <w:sz w:val="21"/>
                <w:szCs w:val="21"/>
              </w:rPr>
            </w:pPr>
          </w:p>
          <w:p>
            <w:pPr>
              <w:spacing w:line="400" w:lineRule="exact"/>
              <w:ind w:left="862"/>
              <w:rPr>
                <w:rFonts w:hint="eastAsia" w:ascii="宋体" w:hAnsi="宋体"/>
                <w:b/>
                <w:bCs/>
                <w:spacing w:val="20"/>
                <w:sz w:val="21"/>
                <w:szCs w:val="21"/>
              </w:rPr>
            </w:pPr>
          </w:p>
          <w:p>
            <w:pPr>
              <w:spacing w:line="400" w:lineRule="exact"/>
              <w:ind w:left="862"/>
              <w:rPr>
                <w:rFonts w:hint="eastAsia" w:ascii="宋体" w:hAnsi="宋体"/>
                <w:b/>
                <w:bCs/>
                <w:spacing w:val="20"/>
                <w:sz w:val="21"/>
                <w:szCs w:val="21"/>
              </w:rPr>
            </w:pPr>
          </w:p>
          <w:p>
            <w:pPr>
              <w:spacing w:line="400" w:lineRule="exact"/>
              <w:ind w:left="862"/>
              <w:rPr>
                <w:rFonts w:hint="eastAsia" w:ascii="宋体" w:hAnsi="宋体"/>
                <w:b/>
                <w:bCs/>
                <w:spacing w:val="20"/>
                <w:sz w:val="21"/>
                <w:szCs w:val="21"/>
              </w:rPr>
            </w:pPr>
          </w:p>
          <w:p>
            <w:pPr>
              <w:spacing w:line="400" w:lineRule="exact"/>
              <w:ind w:left="862"/>
              <w:rPr>
                <w:rFonts w:hint="eastAsia" w:ascii="宋体" w:hAnsi="宋体"/>
                <w:b/>
                <w:bCs/>
                <w:spacing w:val="20"/>
                <w:sz w:val="21"/>
                <w:szCs w:val="21"/>
              </w:rPr>
            </w:pPr>
          </w:p>
          <w:p>
            <w:pPr>
              <w:spacing w:line="400" w:lineRule="exact"/>
              <w:ind w:left="862"/>
              <w:rPr>
                <w:rFonts w:hint="eastAsia" w:ascii="宋体" w:hAnsi="宋体"/>
                <w:b/>
                <w:bCs/>
                <w:spacing w:val="20"/>
                <w:sz w:val="21"/>
                <w:szCs w:val="21"/>
              </w:rPr>
            </w:pPr>
          </w:p>
          <w:p>
            <w:pPr>
              <w:spacing w:line="400" w:lineRule="exact"/>
              <w:ind w:left="862"/>
              <w:rPr>
                <w:rFonts w:hint="eastAsia" w:ascii="宋体" w:hAnsi="宋体"/>
                <w:b/>
                <w:bCs/>
                <w:spacing w:val="20"/>
                <w:sz w:val="21"/>
                <w:szCs w:val="21"/>
              </w:rPr>
            </w:pPr>
          </w:p>
          <w:p>
            <w:pPr>
              <w:spacing w:line="400" w:lineRule="exact"/>
              <w:ind w:left="862"/>
              <w:rPr>
                <w:rFonts w:hint="eastAsia" w:ascii="宋体" w:hAnsi="宋体"/>
                <w:b/>
                <w:bCs/>
                <w:spacing w:val="20"/>
                <w:sz w:val="21"/>
                <w:szCs w:val="21"/>
              </w:rPr>
            </w:pPr>
          </w:p>
          <w:p>
            <w:pPr>
              <w:spacing w:line="400" w:lineRule="exact"/>
              <w:ind w:left="862"/>
              <w:rPr>
                <w:rFonts w:hint="eastAsia" w:ascii="宋体" w:hAnsi="宋体"/>
                <w:b/>
                <w:bCs/>
                <w:spacing w:val="20"/>
                <w:sz w:val="21"/>
                <w:szCs w:val="21"/>
              </w:rPr>
            </w:pPr>
          </w:p>
          <w:p>
            <w:pPr>
              <w:spacing w:line="400" w:lineRule="exact"/>
              <w:ind w:firstLine="502" w:firstLineChars="200"/>
              <w:rPr>
                <w:rFonts w:hint="eastAsia" w:ascii="宋体" w:hAnsi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1"/>
                <w:szCs w:val="21"/>
              </w:rPr>
              <w:t>环保安全目标：</w:t>
            </w:r>
          </w:p>
          <w:p>
            <w:pPr>
              <w:spacing w:line="400" w:lineRule="exact"/>
              <w:ind w:firstLine="500" w:firstLineChars="200"/>
              <w:rPr>
                <w:rFonts w:hint="eastAsia" w:ascii="宋体" w:hAnsi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/>
                <w:spacing w:val="2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一、坚持以人为本，实现重伤及以上事故为零；杜绝较大以上设备设施事故；轻伤事故控制在10‰以内。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二、个体呼吸性粉尘采样率达92%以上；工人群平均粉尘浓度合格率达90%以上；严格控制职业病发生，杜绝群体性职业危害事故。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三、杜绝环境污染事件，实现“三废”达标排放，主要污染物（COD、SO2、氮氧化物和氨氮）排放指标控制在地方政府及集团公司下达的指标范围内。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四、杜绝重大交通、火灾事故发生。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提供了本公司的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质量、</w:t>
            </w:r>
            <w:r>
              <w:rPr>
                <w:rFonts w:hint="eastAsia"/>
                <w:color w:val="000000"/>
                <w:sz w:val="21"/>
                <w:szCs w:val="21"/>
              </w:rPr>
              <w:t>环境和安全管理方案和控制措施，有编制人、审批人签字，二阶段进行进一步关注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20.8.20-23</w:t>
            </w:r>
            <w:r>
              <w:rPr>
                <w:rFonts w:hint="eastAsia"/>
                <w:szCs w:val="21"/>
              </w:rPr>
              <w:t>日进行一次内审，提供了内审计划、内审记录、不符合报告、内审报告等，具体内容，二阶段进一步审核。</w:t>
            </w:r>
          </w:p>
          <w:p>
            <w:pPr>
              <w:pStyle w:val="13"/>
              <w:rPr>
                <w:szCs w:val="21"/>
              </w:rPr>
            </w:pPr>
          </w:p>
          <w:p>
            <w:pPr>
              <w:pStyle w:val="13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20.8.28</w:t>
            </w:r>
            <w:r>
              <w:rPr>
                <w:rFonts w:hint="eastAsia"/>
                <w:szCs w:val="21"/>
              </w:rPr>
              <w:t>日召开了管理评审会议，由总经理主持。提供管理评审报告，具体内容，二阶段进一步审核.</w:t>
            </w:r>
          </w:p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r>
        <w:ptab w:relativeTo="margin" w:alignment="center" w:leader="none"/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视频巡查现场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组织机构：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管理层、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办公室、人力企管部、监察保卫部、财务部、生产技术部、安全环保部、物资部、销售部、采矿场、钟家市选矿厂、坪石选矿厂、运矿车间、机修厂、汽车队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。</w:t>
            </w:r>
          </w:p>
          <w:p>
            <w:pPr>
              <w:spacing w:line="480" w:lineRule="exact"/>
              <w:ind w:right="-6"/>
              <w:rPr>
                <w:szCs w:val="21"/>
              </w:rPr>
            </w:pPr>
            <w:r>
              <w:rPr>
                <w:rFonts w:hint="eastAsia"/>
                <w:szCs w:val="21"/>
              </w:rPr>
              <w:t>作业流程图：</w:t>
            </w:r>
          </w:p>
          <w:p>
            <w:pPr>
              <w:spacing w:line="360" w:lineRule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钻孔-----填炸药------爆破------铲装------运输------破碎-------球磨分级-----浮选------脱水-----入库</w:t>
            </w:r>
          </w:p>
          <w:p>
            <w:pPr>
              <w:spacing w:line="360" w:lineRule="auto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经确认，质量管理体系8.3条款不适合需删减，且不影响满足顾客的要求及法律法规的执行，删减合理。</w:t>
            </w:r>
          </w:p>
          <w:p>
            <w:pPr>
              <w:spacing w:line="400" w:lineRule="exact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提供环境影响登记报告表、环评批复和环评验收资料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提供了法律、法规和其他要求清单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</w:t>
            </w:r>
            <w:r>
              <w:rPr>
                <w:rFonts w:hint="eastAsia" w:ascii="宋体" w:hAnsi="宋体" w:cs="宋体"/>
                <w:kern w:val="0"/>
                <w:szCs w:val="21"/>
              </w:rPr>
              <w:t>供《适用的法律法规清单》、提供了《外来文件清单》</w:t>
            </w:r>
          </w:p>
          <w:p>
            <w:pPr>
              <w:pStyle w:val="13"/>
              <w:rPr>
                <w:szCs w:val="21"/>
              </w:rPr>
            </w:pPr>
            <w:r>
              <w:rPr>
                <w:rFonts w:hint="eastAsia"/>
              </w:rPr>
              <w:t>相关方投诉情况：无。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提供三废检测报告等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提供了“重要环境因素清单”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粉尘、废水、固废、危废和噪声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提</w:t>
            </w:r>
            <w:r>
              <w:rPr>
                <w:rFonts w:hint="eastAsia"/>
                <w:szCs w:val="21"/>
              </w:rPr>
              <w:t>供了“不可接受风险清单”，</w:t>
            </w:r>
          </w:p>
          <w:p>
            <w:pPr>
              <w:pStyle w:val="13"/>
              <w:tabs>
                <w:tab w:val="left" w:pos="312"/>
              </w:tabs>
              <w:rPr>
                <w:bCs w:val="0"/>
                <w:spacing w:val="0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爆炸、坍塌、职业伤害、溺水、火灾、触电、机械伤害</w:t>
            </w:r>
            <w:r>
              <w:rPr>
                <w:rFonts w:hint="eastAsia"/>
                <w:bCs w:val="0"/>
                <w:spacing w:val="0"/>
                <w:szCs w:val="21"/>
              </w:rPr>
              <w:t>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行车、叉车、储气罐、安全阀等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消防栓、灭火器等。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在线监测仪</w:t>
            </w:r>
          </w:p>
          <w:p>
            <w:pPr>
              <w:pStyle w:val="13"/>
              <w:rPr>
                <w:szCs w:val="21"/>
              </w:rPr>
            </w:pPr>
          </w:p>
          <w:p>
            <w:pPr>
              <w:pStyle w:val="13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巡查现场办公环境、基础设施、消防设施，人员作业情况等，确认二阶段资源配置情况。</w:t>
            </w:r>
          </w:p>
          <w:p>
            <w:r>
              <w:rPr>
                <w:rFonts w:hint="eastAsia" w:ascii="宋体" w:hAnsi="宋体"/>
                <w:szCs w:val="21"/>
              </w:rPr>
              <w:t>具备二阶段审核的条件</w:t>
            </w:r>
          </w:p>
        </w:tc>
        <w:tc>
          <w:tcPr>
            <w:tcW w:w="1585" w:type="dxa"/>
          </w:tcPr>
          <w:p/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6F6711"/>
    <w:rsid w:val="19D551E9"/>
    <w:rsid w:val="27E81835"/>
    <w:rsid w:val="48BF65EB"/>
    <w:rsid w:val="4EE04CC9"/>
    <w:rsid w:val="6F1235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99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5</TotalTime>
  <ScaleCrop>false</ScaleCrop>
  <LinksUpToDate>false</LinksUpToDate>
  <CharactersWithSpaces>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2020-09-15T02:49:14Z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