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受审核方：成都金戈石油机械有限公司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18.05.02,18.08.00,34.06.00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刘国斌</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宝鸡市通华石油设备制造有限公司</w:t>
            </w:r>
          </w:p>
        </w:tc>
        <w:tc>
          <w:tcPr>
            <w:tcW w:w="1728" w:type="dxa"/>
            <w:gridSpan w:val="2"/>
            <w:vAlign w:val="center"/>
          </w:tcPr>
          <w:p>
            <w:pPr>
              <w:jc w:val="center"/>
              <w:rPr>
                <w:b/>
                <w:sz w:val="21"/>
                <w:szCs w:val="21"/>
              </w:rPr>
            </w:pPr>
            <w:r>
              <w:rPr>
                <w:b/>
                <w:sz w:val="21"/>
                <w:szCs w:val="21"/>
              </w:rPr>
              <w:t>39.03.02</w:t>
            </w:r>
          </w:p>
        </w:tc>
        <w:tc>
          <w:tcPr>
            <w:tcW w:w="1729" w:type="dxa"/>
            <w:gridSpan w:val="2"/>
            <w:vAlign w:val="center"/>
          </w:tcPr>
          <w:p>
            <w:pPr>
              <w:jc w:val="center"/>
              <w:rPr>
                <w:b/>
                <w:sz w:val="21"/>
                <w:szCs w:val="21"/>
              </w:rPr>
            </w:pPr>
            <w:r>
              <w:rPr>
                <w:b/>
                <w:sz w:val="21"/>
                <w:szCs w:val="21"/>
              </w:rPr>
              <w:t>ISC-JSZJ-018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17"/>
        <w:gridCol w:w="990"/>
        <w:gridCol w:w="1390"/>
        <w:gridCol w:w="135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97" w:type="dxa"/>
            <w:gridSpan w:val="3"/>
            <w:vAlign w:val="center"/>
          </w:tcPr>
          <w:p>
            <w:pPr>
              <w:spacing w:line="260" w:lineRule="exact"/>
              <w:jc w:val="center"/>
              <w:rPr>
                <w:rFonts w:ascii="宋体"/>
                <w:b/>
                <w:color w:val="FF0000"/>
                <w:sz w:val="21"/>
              </w:rPr>
            </w:pPr>
            <w:bookmarkStart w:id="10" w:name="组织名称Add"/>
            <w:r>
              <w:rPr>
                <w:rFonts w:ascii="宋体"/>
                <w:b/>
                <w:color w:val="000000" w:themeColor="text1"/>
                <w:sz w:val="21"/>
              </w:rPr>
              <w:t>成都金戈石油机械有限公司</w:t>
            </w:r>
            <w:bookmarkEnd w:id="10"/>
          </w:p>
        </w:tc>
        <w:tc>
          <w:tcPr>
            <w:tcW w:w="135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641" w:type="dxa"/>
            <w:vAlign w:val="center"/>
          </w:tcPr>
          <w:p>
            <w:pPr>
              <w:spacing w:line="260" w:lineRule="exact"/>
              <w:jc w:val="center"/>
              <w:rPr>
                <w:rFonts w:ascii="宋体"/>
                <w:b/>
                <w:sz w:val="21"/>
              </w:rPr>
            </w:pPr>
            <w:r>
              <w:rPr>
                <w:rFonts w:hint="eastAsia"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97" w:type="dxa"/>
            <w:gridSpan w:val="3"/>
            <w:vAlign w:val="center"/>
          </w:tcPr>
          <w:p>
            <w:pPr>
              <w:jc w:val="center"/>
              <w:rPr>
                <w:rFonts w:ascii="宋体"/>
                <w:b/>
                <w:sz w:val="21"/>
              </w:rPr>
            </w:pPr>
            <w:bookmarkStart w:id="11" w:name="注册地址"/>
            <w:r>
              <w:rPr>
                <w:rFonts w:ascii="宋体"/>
                <w:b/>
                <w:sz w:val="21"/>
              </w:rPr>
              <w:t>成都市锦江区一环路东四段14号</w:t>
            </w:r>
            <w:bookmarkEnd w:id="11"/>
          </w:p>
        </w:tc>
        <w:tc>
          <w:tcPr>
            <w:tcW w:w="1350" w:type="dxa"/>
            <w:vMerge w:val="restart"/>
            <w:vAlign w:val="center"/>
          </w:tcPr>
          <w:p>
            <w:pPr>
              <w:jc w:val="center"/>
              <w:rPr>
                <w:rFonts w:ascii="宋体"/>
                <w:b/>
                <w:sz w:val="21"/>
              </w:rPr>
            </w:pPr>
            <w:r>
              <w:rPr>
                <w:rFonts w:hint="eastAsia" w:ascii="宋体" w:hAnsi="宋体"/>
                <w:b/>
                <w:sz w:val="21"/>
              </w:rPr>
              <w:t>邮编</w:t>
            </w:r>
          </w:p>
        </w:tc>
        <w:tc>
          <w:tcPr>
            <w:tcW w:w="1641" w:type="dxa"/>
            <w:vAlign w:val="center"/>
          </w:tcPr>
          <w:p>
            <w:pPr>
              <w:jc w:val="center"/>
              <w:rPr>
                <w:rFonts w:ascii="宋体"/>
                <w:b/>
                <w:sz w:val="21"/>
              </w:rPr>
            </w:pPr>
            <w:bookmarkStart w:id="12" w:name="注册邮编"/>
            <w:r>
              <w:rPr>
                <w:rFonts w:ascii="宋体"/>
                <w:b/>
                <w:sz w:val="21"/>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97" w:type="dxa"/>
            <w:gridSpan w:val="3"/>
            <w:vAlign w:val="center"/>
          </w:tcPr>
          <w:p>
            <w:pPr>
              <w:jc w:val="center"/>
              <w:rPr>
                <w:rFonts w:ascii="宋体"/>
                <w:b/>
                <w:sz w:val="21"/>
              </w:rPr>
            </w:pPr>
            <w:bookmarkStart w:id="13" w:name="办公地址"/>
            <w:r>
              <w:rPr>
                <w:rFonts w:ascii="宋体"/>
                <w:b/>
                <w:sz w:val="21"/>
              </w:rPr>
              <w:t>成都市新都工业东区白云路468号</w:t>
            </w:r>
            <w:bookmarkEnd w:id="13"/>
          </w:p>
        </w:tc>
        <w:tc>
          <w:tcPr>
            <w:tcW w:w="1350" w:type="dxa"/>
            <w:vMerge w:val="continue"/>
            <w:vAlign w:val="center"/>
          </w:tcPr>
          <w:p>
            <w:pPr>
              <w:jc w:val="center"/>
              <w:rPr>
                <w:rFonts w:ascii="宋体"/>
                <w:b/>
                <w:sz w:val="21"/>
              </w:rPr>
            </w:pPr>
          </w:p>
        </w:tc>
        <w:tc>
          <w:tcPr>
            <w:tcW w:w="1641" w:type="dxa"/>
            <w:vAlign w:val="center"/>
          </w:tcPr>
          <w:p>
            <w:pPr>
              <w:jc w:val="cente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97" w:type="dxa"/>
            <w:gridSpan w:val="3"/>
            <w:vAlign w:val="center"/>
          </w:tcPr>
          <w:p>
            <w:pPr>
              <w:jc w:val="center"/>
              <w:rPr>
                <w:rFonts w:ascii="宋体"/>
                <w:b/>
                <w:sz w:val="21"/>
              </w:rPr>
            </w:pPr>
            <w:bookmarkStart w:id="15" w:name="生产地址Add"/>
            <w:r>
              <w:rPr>
                <w:rFonts w:ascii="宋体"/>
                <w:b/>
                <w:sz w:val="21"/>
              </w:rPr>
              <w:t>成都市新都工业东区白云路468号</w:t>
            </w:r>
            <w:bookmarkEnd w:id="15"/>
          </w:p>
        </w:tc>
        <w:tc>
          <w:tcPr>
            <w:tcW w:w="1350" w:type="dxa"/>
            <w:vMerge w:val="continue"/>
            <w:vAlign w:val="center"/>
          </w:tcPr>
          <w:p>
            <w:pPr>
              <w:jc w:val="center"/>
              <w:rPr>
                <w:rFonts w:ascii="宋体"/>
                <w:b/>
                <w:sz w:val="21"/>
              </w:rPr>
            </w:pPr>
          </w:p>
        </w:tc>
        <w:tc>
          <w:tcPr>
            <w:tcW w:w="1641" w:type="dxa"/>
            <w:vAlign w:val="center"/>
          </w:tcPr>
          <w:p>
            <w:pPr>
              <w:jc w:val="cente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17" w:type="dxa"/>
            <w:vAlign w:val="center"/>
          </w:tcPr>
          <w:p>
            <w:pPr>
              <w:spacing w:line="320" w:lineRule="exact"/>
              <w:jc w:val="center"/>
              <w:rPr>
                <w:rFonts w:ascii="宋体"/>
                <w:b/>
                <w:sz w:val="21"/>
              </w:rPr>
            </w:pPr>
            <w:bookmarkStart w:id="17" w:name="联系人"/>
            <w:bookmarkEnd w:id="17"/>
            <w:r>
              <w:rPr>
                <w:rFonts w:hint="eastAsia" w:ascii="宋体" w:hAnsi="宋体"/>
                <w:b/>
                <w:color w:val="000000" w:themeColor="text1"/>
                <w:sz w:val="20"/>
                <w:szCs w:val="20"/>
              </w:rPr>
              <w:t>杨丰豪</w:t>
            </w:r>
          </w:p>
        </w:tc>
        <w:tc>
          <w:tcPr>
            <w:tcW w:w="990" w:type="dxa"/>
            <w:vAlign w:val="center"/>
          </w:tcPr>
          <w:p>
            <w:pPr>
              <w:spacing w:line="320" w:lineRule="exact"/>
              <w:jc w:val="center"/>
              <w:rPr>
                <w:rFonts w:ascii="宋体"/>
                <w:b/>
                <w:sz w:val="21"/>
              </w:rPr>
            </w:pPr>
            <w:r>
              <w:rPr>
                <w:rFonts w:hint="eastAsia" w:ascii="宋体" w:hAnsi="宋体"/>
                <w:b/>
                <w:color w:val="000000" w:themeColor="text1"/>
                <w:sz w:val="20"/>
                <w:szCs w:val="20"/>
              </w:rPr>
              <w:t>电话</w:t>
            </w:r>
          </w:p>
        </w:tc>
        <w:tc>
          <w:tcPr>
            <w:tcW w:w="1390" w:type="dxa"/>
            <w:vAlign w:val="center"/>
          </w:tcPr>
          <w:p>
            <w:pPr>
              <w:spacing w:line="320" w:lineRule="exact"/>
              <w:jc w:val="center"/>
              <w:rPr>
                <w:rFonts w:ascii="宋体"/>
                <w:b/>
                <w:sz w:val="21"/>
              </w:rPr>
            </w:pPr>
            <w:bookmarkStart w:id="18" w:name="联系人电话Add"/>
            <w:bookmarkEnd w:id="18"/>
            <w:r>
              <w:rPr>
                <w:szCs w:val="21"/>
              </w:rPr>
              <w:t>13308094080</w:t>
            </w:r>
          </w:p>
        </w:tc>
        <w:tc>
          <w:tcPr>
            <w:tcW w:w="1350" w:type="dxa"/>
            <w:vAlign w:val="center"/>
          </w:tcPr>
          <w:p>
            <w:pPr>
              <w:spacing w:line="320" w:lineRule="exact"/>
              <w:jc w:val="center"/>
              <w:rPr>
                <w:rFonts w:ascii="宋体"/>
                <w:b/>
                <w:sz w:val="21"/>
              </w:rPr>
            </w:pPr>
            <w:r>
              <w:rPr>
                <w:rFonts w:hint="eastAsia" w:ascii="宋体" w:hAnsi="宋体"/>
                <w:b/>
                <w:color w:val="000000" w:themeColor="text1"/>
                <w:sz w:val="20"/>
                <w:szCs w:val="20"/>
              </w:rPr>
              <w:t>传真</w:t>
            </w:r>
          </w:p>
        </w:tc>
        <w:tc>
          <w:tcPr>
            <w:tcW w:w="1641" w:type="dxa"/>
            <w:vAlign w:val="center"/>
          </w:tcPr>
          <w:p>
            <w:pPr>
              <w:spacing w:line="320" w:lineRule="exact"/>
              <w:jc w:val="center"/>
              <w:rPr>
                <w:rFonts w:ascii="宋体"/>
                <w:b/>
                <w:sz w:val="21"/>
              </w:rPr>
            </w:pPr>
            <w:bookmarkStart w:id="19" w:name="联系人传真"/>
            <w:bookmarkEnd w:id="19"/>
            <w:r>
              <w:t>028-84465186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17" w:type="dxa"/>
            <w:vAlign w:val="center"/>
          </w:tcPr>
          <w:p>
            <w:pPr>
              <w:jc w:val="center"/>
              <w:rPr>
                <w:rFonts w:ascii="宋体" w:hAnsi="宋体"/>
                <w:b/>
                <w:sz w:val="21"/>
                <w:szCs w:val="21"/>
              </w:rPr>
            </w:pPr>
            <w:bookmarkStart w:id="20" w:name="法人"/>
            <w:r>
              <w:rPr>
                <w:rFonts w:ascii="宋体" w:hAnsi="宋体"/>
                <w:b/>
                <w:sz w:val="21"/>
                <w:szCs w:val="21"/>
              </w:rPr>
              <w:t>袁椿燕</w:t>
            </w:r>
            <w:bookmarkEnd w:id="20"/>
          </w:p>
        </w:tc>
        <w:tc>
          <w:tcPr>
            <w:tcW w:w="990" w:type="dxa"/>
            <w:vAlign w:val="center"/>
          </w:tcPr>
          <w:p>
            <w:pPr>
              <w:jc w:val="center"/>
              <w:rPr>
                <w:rFonts w:ascii="宋体" w:hAnsi="宋体"/>
                <w:b/>
                <w:sz w:val="21"/>
                <w:szCs w:val="21"/>
              </w:rPr>
            </w:pPr>
            <w:r>
              <w:rPr>
                <w:rFonts w:hint="eastAsia" w:ascii="宋体" w:hAnsi="宋体"/>
                <w:b/>
                <w:sz w:val="21"/>
                <w:szCs w:val="21"/>
              </w:rPr>
              <w:t>总经理</w:t>
            </w:r>
          </w:p>
        </w:tc>
        <w:tc>
          <w:tcPr>
            <w:tcW w:w="1390" w:type="dxa"/>
            <w:vAlign w:val="center"/>
          </w:tcPr>
          <w:p>
            <w:pPr>
              <w:jc w:val="center"/>
              <w:rPr>
                <w:rFonts w:ascii="宋体" w:hAnsi="宋体"/>
                <w:b/>
                <w:sz w:val="21"/>
                <w:szCs w:val="21"/>
              </w:rPr>
            </w:pPr>
          </w:p>
        </w:tc>
        <w:tc>
          <w:tcPr>
            <w:tcW w:w="1350" w:type="dxa"/>
            <w:vAlign w:val="center"/>
          </w:tcPr>
          <w:p>
            <w:pPr>
              <w:jc w:val="center"/>
              <w:rPr>
                <w:rFonts w:ascii="宋体" w:hAnsi="宋体"/>
                <w:b/>
                <w:sz w:val="21"/>
                <w:szCs w:val="21"/>
              </w:rPr>
            </w:pPr>
            <w:r>
              <w:rPr>
                <w:rFonts w:hint="eastAsia" w:ascii="宋体" w:hAnsi="宋体"/>
                <w:b/>
                <w:sz w:val="21"/>
                <w:szCs w:val="21"/>
              </w:rPr>
              <w:t>管理者代表</w:t>
            </w:r>
          </w:p>
        </w:tc>
        <w:tc>
          <w:tcPr>
            <w:tcW w:w="1641" w:type="dxa"/>
            <w:vAlign w:val="center"/>
          </w:tcPr>
          <w:p>
            <w:pPr>
              <w:jc w:val="center"/>
              <w:rPr>
                <w:rFonts w:ascii="宋体"/>
                <w:b/>
                <w:sz w:val="21"/>
              </w:rPr>
            </w:pPr>
            <w:bookmarkStart w:id="21" w:name="管理者代表"/>
            <w:r>
              <w:rPr>
                <w:rFonts w:ascii="宋体"/>
                <w:b/>
                <w:sz w:val="21"/>
              </w:rPr>
              <w:t>杨丰豪</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07" w:type="dxa"/>
            <w:gridSpan w:val="2"/>
            <w:vAlign w:val="center"/>
          </w:tcPr>
          <w:p>
            <w:pPr>
              <w:jc w:val="center"/>
              <w:rPr>
                <w:rFonts w:ascii="宋体" w:hAnsi="宋体"/>
                <w:b/>
                <w:sz w:val="21"/>
                <w:szCs w:val="21"/>
              </w:rPr>
            </w:pPr>
            <w:bookmarkStart w:id="22" w:name="审核日期"/>
            <w:r>
              <w:rPr>
                <w:rFonts w:ascii="宋体" w:hAnsi="宋体"/>
                <w:b/>
                <w:sz w:val="21"/>
                <w:szCs w:val="21"/>
              </w:rPr>
              <w:t>2020年09月07日 上午至</w:t>
            </w:r>
          </w:p>
          <w:p>
            <w:pPr>
              <w:jc w:val="center"/>
              <w:rPr>
                <w:rFonts w:ascii="宋体" w:hAnsi="宋体"/>
                <w:b/>
                <w:sz w:val="21"/>
                <w:szCs w:val="21"/>
              </w:rPr>
            </w:pPr>
            <w:r>
              <w:rPr>
                <w:rFonts w:ascii="宋体" w:hAnsi="宋体"/>
                <w:b/>
                <w:sz w:val="21"/>
                <w:szCs w:val="21"/>
              </w:rPr>
              <w:t>2020年09月07日 下午</w:t>
            </w:r>
            <w:bookmarkEnd w:id="22"/>
          </w:p>
        </w:tc>
        <w:tc>
          <w:tcPr>
            <w:tcW w:w="1390" w:type="dxa"/>
            <w:vAlign w:val="center"/>
          </w:tcPr>
          <w:p>
            <w:pPr>
              <w:jc w:val="center"/>
              <w:rPr>
                <w:rFonts w:ascii="宋体" w:hAnsi="宋体"/>
                <w:b/>
                <w:sz w:val="21"/>
                <w:szCs w:val="21"/>
              </w:rPr>
            </w:pPr>
            <w:r>
              <w:rPr>
                <w:rFonts w:hint="eastAsia" w:ascii="宋体" w:hAnsi="宋体"/>
                <w:b/>
                <w:sz w:val="21"/>
                <w:szCs w:val="21"/>
              </w:rPr>
              <w:t>一体化审核</w:t>
            </w:r>
          </w:p>
        </w:tc>
        <w:tc>
          <w:tcPr>
            <w:tcW w:w="2991" w:type="dxa"/>
            <w:gridSpan w:val="2"/>
            <w:vAlign w:val="center"/>
          </w:tcPr>
          <w:p>
            <w:pPr>
              <w:jc w:val="cente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：石油钻井机械部件的生产和修理技术服务；钻井油泥、泥浆的固液分离处理;</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17" w:type="dxa"/>
          </w:tcPr>
          <w:p>
            <w:pPr>
              <w:spacing w:line="260" w:lineRule="exact"/>
              <w:rPr>
                <w:rFonts w:ascii="宋体" w:hAnsi="宋体"/>
                <w:b/>
                <w:sz w:val="21"/>
                <w:szCs w:val="21"/>
              </w:rPr>
            </w:pPr>
            <w:bookmarkStart w:id="26" w:name="专业代码"/>
            <w:r>
              <w:rPr>
                <w:rFonts w:ascii="宋体" w:hAnsi="宋体"/>
                <w:b/>
                <w:sz w:val="21"/>
                <w:szCs w:val="21"/>
              </w:rPr>
              <w:t>18.05.02;18.08.00;34.06.00;39.03.02</w:t>
            </w:r>
            <w:bookmarkEnd w:id="26"/>
          </w:p>
        </w:tc>
        <w:tc>
          <w:tcPr>
            <w:tcW w:w="99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90" w:type="dxa"/>
            <w:vAlign w:val="center"/>
          </w:tcPr>
          <w:p>
            <w:pPr>
              <w:spacing w:line="260" w:lineRule="exact"/>
              <w:jc w:val="center"/>
              <w:rPr>
                <w:rFonts w:ascii="宋体" w:hAnsi="宋体"/>
                <w:b/>
                <w:sz w:val="21"/>
                <w:szCs w:val="21"/>
              </w:rPr>
            </w:pPr>
            <w:r>
              <w:rPr>
                <w:rFonts w:hint="eastAsia" w:ascii="宋体" w:hAnsi="宋体"/>
                <w:b/>
                <w:color w:val="000000"/>
                <w:sz w:val="21"/>
                <w:szCs w:val="21"/>
                <w:lang w:val="en-US" w:eastAsia="zh-CN"/>
              </w:rPr>
              <w:t>2022.9.18</w:t>
            </w:r>
          </w:p>
        </w:tc>
        <w:tc>
          <w:tcPr>
            <w:tcW w:w="1350" w:type="dxa"/>
            <w:vAlign w:val="center"/>
          </w:tcPr>
          <w:p>
            <w:pPr>
              <w:spacing w:line="260" w:lineRule="exact"/>
              <w:jc w:val="center"/>
              <w:rPr>
                <w:rFonts w:hint="eastAsia" w:ascii="宋体" w:hAnsi="宋体"/>
                <w:b/>
                <w:color w:val="000000"/>
                <w:sz w:val="21"/>
                <w:szCs w:val="21"/>
                <w:lang w:val="en-US" w:eastAsia="zh-CN"/>
              </w:rPr>
            </w:pPr>
            <w:r>
              <w:rPr>
                <w:rFonts w:hint="eastAsia" w:ascii="宋体" w:hAnsi="宋体"/>
                <w:b/>
                <w:color w:val="000000"/>
                <w:sz w:val="21"/>
                <w:szCs w:val="21"/>
                <w:lang w:val="en-US" w:eastAsia="zh-CN"/>
              </w:rPr>
              <w:t>上年度</w:t>
            </w:r>
          </w:p>
          <w:p>
            <w:pPr>
              <w:spacing w:line="260" w:lineRule="exact"/>
              <w:jc w:val="center"/>
              <w:rPr>
                <w:rFonts w:ascii="宋体" w:hAnsi="宋体"/>
                <w:b/>
                <w:sz w:val="21"/>
                <w:szCs w:val="21"/>
              </w:rPr>
            </w:pPr>
            <w:r>
              <w:rPr>
                <w:rFonts w:hint="eastAsia" w:ascii="宋体" w:hAnsi="宋体"/>
                <w:b/>
                <w:color w:val="000000"/>
                <w:sz w:val="21"/>
                <w:szCs w:val="21"/>
                <w:lang w:val="en-US" w:eastAsia="zh-CN"/>
              </w:rPr>
              <w:t>审核日期</w:t>
            </w:r>
          </w:p>
        </w:tc>
        <w:tc>
          <w:tcPr>
            <w:tcW w:w="1641" w:type="dxa"/>
            <w:vAlign w:val="center"/>
          </w:tcPr>
          <w:p>
            <w:pPr>
              <w:spacing w:line="260" w:lineRule="exact"/>
              <w:jc w:val="center"/>
              <w:rPr>
                <w:rFonts w:hint="default" w:ascii="宋体"/>
                <w:b/>
                <w:sz w:val="21"/>
                <w:lang w:val="en-US"/>
              </w:rPr>
            </w:pPr>
            <w:r>
              <w:rPr>
                <w:rFonts w:hint="eastAsia" w:ascii="宋体" w:hAnsi="宋体"/>
                <w:b/>
                <w:color w:val="000000"/>
                <w:sz w:val="21"/>
                <w:szCs w:val="21"/>
                <w:lang w:val="en-US" w:eastAsia="zh-CN"/>
              </w:rPr>
              <w:t>2019.8.7-8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rPr>
          <w:rFonts w:hint="eastAsia" w:ascii="宋体" w:hAnsi="宋体" w:cs="Times New Roman"/>
          <w:b/>
          <w:sz w:val="21"/>
          <w:szCs w:val="21"/>
          <w:lang w:eastAsia="zh-CN"/>
        </w:rPr>
      </w:pPr>
      <w:r>
        <w:rPr>
          <w:rFonts w:hint="eastAsia" w:ascii="宋体" w:hAnsi="宋体" w:cs="Times New Roman"/>
          <w:b/>
          <w:sz w:val="21"/>
          <w:szCs w:val="21"/>
          <w:lang w:eastAsia="zh-CN"/>
        </w:rPr>
        <w:t>2. 已审核的分场所（分中心、分部或不在一起的部门）、临时/流动场所信息</w:t>
      </w:r>
    </w:p>
    <w:p>
      <w:pPr>
        <w:spacing w:before="163" w:beforeLines="50"/>
        <w:ind w:left="-194" w:leftChars="-81" w:firstLine="632" w:firstLineChars="300"/>
        <w:rPr>
          <w:rFonts w:hint="eastAsia" w:ascii="宋体" w:hAnsi="宋体" w:cs="Times New Roman"/>
          <w:b/>
          <w:sz w:val="21"/>
          <w:szCs w:val="21"/>
          <w:lang w:eastAsia="zh-CN"/>
        </w:rPr>
      </w:pPr>
      <w:r>
        <w:rPr>
          <w:rFonts w:hint="eastAsia" w:ascii="宋体" w:hAnsi="宋体" w:cs="Times New Roman"/>
          <w:b/>
          <w:sz w:val="21"/>
          <w:szCs w:val="21"/>
          <w:lang w:eastAsia="zh-CN"/>
        </w:rPr>
        <w:t>成都市新都工业东区白云路468号成都金戈石油机械有限公司</w:t>
      </w:r>
    </w:p>
    <w:p>
      <w:pPr>
        <w:spacing w:before="163" w:beforeLines="50"/>
        <w:ind w:left="-194" w:leftChars="-81" w:firstLine="632" w:firstLineChars="300"/>
        <w:rPr>
          <w:rFonts w:hint="eastAsia" w:ascii="宋体" w:hAnsi="宋体"/>
          <w:b/>
          <w:sz w:val="21"/>
          <w:szCs w:val="21"/>
          <w:lang w:eastAsia="zh-CN"/>
        </w:rPr>
      </w:pPr>
      <w:r>
        <w:rPr>
          <w:rFonts w:hint="eastAsia" w:ascii="宋体" w:hAnsi="宋体"/>
          <w:b/>
          <w:sz w:val="21"/>
          <w:szCs w:val="21"/>
        </w:rPr>
        <w:t>临时场所名称、地址</w:t>
      </w:r>
      <w:r>
        <w:rPr>
          <w:rFonts w:hint="eastAsia" w:ascii="宋体" w:hAnsi="宋体"/>
          <w:b/>
          <w:sz w:val="21"/>
          <w:szCs w:val="21"/>
          <w:lang w:eastAsia="zh-CN"/>
        </w:rPr>
        <w:t>：</w:t>
      </w:r>
      <w:r>
        <w:rPr>
          <w:rFonts w:hint="eastAsia" w:ascii="宋体" w:hAnsi="宋体"/>
          <w:b/>
          <w:sz w:val="21"/>
          <w:szCs w:val="21"/>
          <w:lang w:val="en-US" w:eastAsia="zh-CN"/>
        </w:rPr>
        <w:t>五宝浅20</w:t>
      </w:r>
      <w:r>
        <w:rPr>
          <w:rFonts w:hint="eastAsia" w:ascii="宋体" w:hAnsi="宋体"/>
          <w:b/>
          <w:sz w:val="21"/>
          <w:szCs w:val="21"/>
          <w:lang w:eastAsia="zh-CN"/>
        </w:rPr>
        <w:t>井水基岩屑减量化技术服务</w:t>
      </w:r>
    </w:p>
    <w:p>
      <w:pPr>
        <w:spacing w:before="163" w:beforeLines="50"/>
        <w:ind w:left="-194" w:leftChars="-81" w:firstLine="2951" w:firstLineChars="1400"/>
      </w:pPr>
      <w:r>
        <w:rPr>
          <w:rFonts w:hint="eastAsia" w:ascii="宋体" w:hAnsi="宋体"/>
          <w:b/>
          <w:sz w:val="21"/>
          <w:szCs w:val="21"/>
        </w:rPr>
        <w:t>四川省</w:t>
      </w:r>
      <w:r>
        <w:rPr>
          <w:rFonts w:hint="eastAsia" w:ascii="宋体" w:hAnsi="宋体"/>
          <w:b/>
          <w:sz w:val="21"/>
          <w:szCs w:val="21"/>
          <w:lang w:val="en-US" w:eastAsia="zh-CN"/>
        </w:rPr>
        <w:t>广汉</w:t>
      </w:r>
      <w:r>
        <w:rPr>
          <w:rFonts w:hint="eastAsia" w:ascii="宋体" w:hAnsi="宋体"/>
          <w:b/>
          <w:sz w:val="21"/>
          <w:szCs w:val="21"/>
        </w:rPr>
        <w:t>市</w:t>
      </w:r>
      <w:r>
        <w:rPr>
          <w:rFonts w:hint="eastAsia" w:ascii="宋体" w:hAnsi="宋体"/>
          <w:b/>
          <w:sz w:val="21"/>
          <w:szCs w:val="21"/>
          <w:lang w:val="en-US" w:eastAsia="zh-CN"/>
        </w:rPr>
        <w:t xml:space="preserve">新丰镇沙河村 </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生产┄┄）是石油钻井机械部件的生产和修理技术服务；钻井油泥、泥浆的固液分离处理;</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color w:val="000000"/>
          <w:sz w:val="21"/>
          <w:szCs w:val="21"/>
          <w:lang w:val="en-US" w:eastAsia="zh-CN"/>
        </w:rPr>
        <w:t>2019</w:t>
      </w:r>
      <w:r>
        <w:rPr>
          <w:rFonts w:hint="eastAsia" w:ascii="宋体" w:hAnsi="宋体"/>
          <w:b/>
          <w:sz w:val="21"/>
          <w:szCs w:val="21"/>
        </w:rPr>
        <w:t>年</w:t>
      </w:r>
      <w:r>
        <w:rPr>
          <w:rFonts w:hint="eastAsia" w:ascii="宋体" w:hAnsi="宋体"/>
          <w:b/>
          <w:color w:val="000000"/>
          <w:sz w:val="21"/>
          <w:szCs w:val="21"/>
          <w:lang w:val="en-US" w:eastAsia="zh-CN"/>
        </w:rPr>
        <w:t>8</w:t>
      </w:r>
      <w:r>
        <w:rPr>
          <w:rFonts w:hint="eastAsia" w:ascii="宋体" w:hAnsi="宋体"/>
          <w:b/>
          <w:sz w:val="21"/>
          <w:szCs w:val="21"/>
        </w:rPr>
        <w:t>月</w:t>
      </w:r>
      <w:r>
        <w:rPr>
          <w:rFonts w:hint="eastAsia" w:ascii="宋体" w:hAnsi="宋体"/>
          <w:b/>
          <w:color w:val="000000"/>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ind w:firstLine="210" w:firstLineChars="100"/>
              <w:rPr>
                <w:rFonts w:ascii="宋体" w:hAnsi="宋体"/>
                <w:b/>
                <w:sz w:val="21"/>
                <w:szCs w:val="21"/>
              </w:rPr>
            </w:pPr>
            <w:r>
              <w:rPr>
                <w:rFonts w:hint="eastAsia" w:ascii="宋体" w:hAnsi="宋体"/>
                <w:b w:val="0"/>
                <w:bCs/>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ascii="宋体" w:hAnsi="宋体"/>
                <w:b/>
                <w:sz w:val="21"/>
                <w:szCs w:val="21"/>
              </w:rPr>
            </w:pPr>
            <w:r>
              <w:rPr>
                <w:rFonts w:hint="eastAsia" w:ascii="宋体" w:hAnsi="宋体"/>
                <w:b w:val="0"/>
                <w:bCs/>
                <w:sz w:val="21"/>
                <w:szCs w:val="21"/>
                <w:lang w:val="en-US" w:eastAsia="zh-CN"/>
              </w:rPr>
              <w:t xml:space="preserve">   </w:t>
            </w:r>
            <w:r>
              <w:rPr>
                <w:rFonts w:hint="eastAsia" w:ascii="宋体" w:hAnsi="宋体"/>
                <w:b w:val="0"/>
                <w:bCs/>
                <w:sz w:val="21"/>
                <w:szCs w:val="21"/>
              </w:rPr>
              <w:t xml:space="preserve">对相关方的评估、识别和控制各类风险和机遇，理解公司相关方的需求和期望，做到事先预防、合理规避和妥善处理公司各类经营风险和机遇，在管理体系过程中整合并实施风险和机遇所采取的措施，确保管理体系实现预期结果。相关方包括顾客、股东、员工、供应商、竞争对手、社会团体等。相关方期望和要求为价格、安全性、合同协议、行业规范标准等。识别的方法为：主动调查、水平对比等。检测指标或项目：顾客满意度、客户投诉率、供方评价表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公司的质量方针是：</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质量保生存、顾客满意；创新求发展、持续改进。</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firstLine="420" w:firstLineChars="200"/>
              <w:rPr>
                <w:rFonts w:ascii="宋体" w:hAnsi="宋体"/>
                <w:b/>
                <w:sz w:val="21"/>
                <w:szCs w:val="21"/>
              </w:rPr>
            </w:pPr>
            <w:r>
              <w:rPr>
                <w:rFonts w:hint="eastAsia" w:ascii="宋体" w:hAnsi="宋体"/>
                <w:b w:val="0"/>
                <w:bCs/>
                <w:sz w:val="21"/>
                <w:szCs w:val="21"/>
              </w:rPr>
              <w:t>按《风险和机遇控制程序》，对组织内外的风险和机遇进行了策划。提供2020年《风险和机遇评估分析表》，识别了风险和机遇来源、风险和机遇内容、管理措施、责任部门、实时时间、评价措施等，应对措施与风险、机遇基本相适应，制定了新冠肺炎的风险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 w:val="20"/>
                <w:szCs w:val="20"/>
                <w:u w:val="single"/>
              </w:rPr>
              <w:t xml:space="preserve">焊接、组装过程 </w:t>
            </w:r>
            <w:r>
              <w:rPr>
                <w:rFonts w:hint="eastAsia" w:ascii="宋体" w:hAnsi="宋体"/>
                <w:b/>
                <w:color w:val="000000" w:themeColor="text1"/>
                <w:sz w:val="20"/>
                <w:szCs w:val="20"/>
                <w:u w:val="single"/>
                <w:lang w:eastAsia="zh-CN"/>
              </w:rPr>
              <w:t>，</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themeColor="text1"/>
                <w:sz w:val="20"/>
                <w:szCs w:val="20"/>
                <w:u w:val="single"/>
              </w:rPr>
              <w:t>焊接过程</w:t>
            </w:r>
            <w:r>
              <w:rPr>
                <w:rFonts w:hint="eastAsia" w:ascii="宋体" w:hAnsi="宋体"/>
                <w:b/>
                <w:color w:val="000000" w:themeColor="text1"/>
                <w:sz w:val="20"/>
                <w:szCs w:val="20"/>
                <w:u w:val="single"/>
              </w:rPr>
              <w:t>，</w:t>
            </w:r>
          </w:p>
          <w:p>
            <w:pPr>
              <w:tabs>
                <w:tab w:val="left" w:pos="540"/>
              </w:tabs>
              <w:spacing w:line="360" w:lineRule="auto"/>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u w:val="single"/>
              </w:rPr>
              <w:t xml:space="preserve">8.3条款 </w:t>
            </w:r>
            <w:r>
              <w:rPr>
                <w:rFonts w:hint="eastAsia" w:ascii="宋体" w:hAnsi="宋体"/>
                <w:b/>
                <w:color w:val="000000" w:themeColor="text1"/>
                <w:sz w:val="20"/>
                <w:szCs w:val="20"/>
              </w:rPr>
              <w:t xml:space="preserve">     ，不适用理由： </w:t>
            </w:r>
            <w:r>
              <w:rPr>
                <w:rFonts w:hint="eastAsia" w:ascii="宋体" w:hAnsi="宋体"/>
                <w:color w:val="000000" w:themeColor="text1"/>
                <w:sz w:val="20"/>
                <w:szCs w:val="20"/>
                <w:u w:val="single"/>
              </w:rPr>
              <w:t>按照标准和客户要求生产销售、维修技术服务和油泥泥浆废弃物的处理，不需再进行设计开发，删减适宜。</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pStyle w:val="14"/>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60" w:lineRule="auto"/>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ascii="宋体" w:hAnsi="宋体"/>
                <w:sz w:val="21"/>
                <w:szCs w:val="21"/>
              </w:rPr>
            </w:pPr>
            <w:r>
              <w:rPr>
                <w:rFonts w:hint="eastAsia" w:ascii="宋体" w:hAnsi="宋体"/>
                <w:sz w:val="21"/>
                <w:szCs w:val="21"/>
              </w:rPr>
              <w:t>公司质量目标：</w:t>
            </w:r>
          </w:p>
          <w:p>
            <w:pPr>
              <w:numPr>
                <w:ilvl w:val="0"/>
                <w:numId w:val="4"/>
              </w:numPr>
              <w:spacing w:line="440" w:lineRule="exact"/>
              <w:ind w:left="851" w:hanging="403"/>
              <w:rPr>
                <w:rFonts w:ascii="宋体" w:hAnsi="宋体"/>
                <w:sz w:val="21"/>
                <w:szCs w:val="21"/>
              </w:rPr>
            </w:pPr>
            <w:r>
              <w:rPr>
                <w:rFonts w:hint="eastAsia" w:ascii="宋体" w:hAnsi="宋体"/>
                <w:sz w:val="21"/>
                <w:szCs w:val="21"/>
              </w:rPr>
              <w:t>产品/服务交付及时率100%；</w:t>
            </w:r>
          </w:p>
          <w:p>
            <w:pPr>
              <w:numPr>
                <w:ilvl w:val="0"/>
                <w:numId w:val="5"/>
              </w:numPr>
              <w:tabs>
                <w:tab w:val="left" w:pos="855"/>
              </w:tabs>
              <w:spacing w:line="440" w:lineRule="exact"/>
              <w:ind w:left="851" w:hanging="403"/>
              <w:rPr>
                <w:rFonts w:ascii="宋体" w:hAnsi="宋体"/>
                <w:sz w:val="21"/>
                <w:szCs w:val="21"/>
              </w:rPr>
            </w:pPr>
            <w:r>
              <w:rPr>
                <w:rFonts w:hint="eastAsia" w:ascii="宋体" w:hAnsi="宋体"/>
                <w:sz w:val="21"/>
                <w:szCs w:val="21"/>
              </w:rPr>
              <w:t>产品顾客验收合格率100%；</w:t>
            </w:r>
          </w:p>
          <w:p>
            <w:pPr>
              <w:numPr>
                <w:ilvl w:val="0"/>
                <w:numId w:val="5"/>
              </w:numPr>
              <w:tabs>
                <w:tab w:val="left" w:pos="855"/>
              </w:tabs>
              <w:spacing w:line="440" w:lineRule="exact"/>
              <w:ind w:left="851" w:hanging="403"/>
              <w:rPr>
                <w:rFonts w:ascii="宋体" w:hAnsi="宋体"/>
                <w:sz w:val="21"/>
                <w:szCs w:val="21"/>
              </w:rPr>
            </w:pPr>
            <w:r>
              <w:rPr>
                <w:rFonts w:hint="eastAsia" w:ascii="宋体" w:hAnsi="宋体"/>
                <w:sz w:val="21"/>
                <w:szCs w:val="21"/>
              </w:rPr>
              <w:t>顾客满意率≥90%。</w:t>
            </w:r>
          </w:p>
          <w:p>
            <w:pPr>
              <w:spacing w:line="360" w:lineRule="auto"/>
              <w:ind w:firstLine="420" w:firstLineChars="200"/>
              <w:rPr>
                <w:rFonts w:ascii="宋体" w:hAnsi="宋体"/>
                <w:sz w:val="21"/>
                <w:szCs w:val="21"/>
              </w:rPr>
            </w:pPr>
            <w:r>
              <w:rPr>
                <w:rFonts w:hint="eastAsia" w:ascii="宋体" w:hAnsi="宋体"/>
                <w:sz w:val="21"/>
                <w:szCs w:val="21"/>
              </w:rPr>
              <w:t>目标已分解到各部门。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hint="eastAsia" w:ascii="宋体" w:hAnsi="宋体"/>
                <w:b/>
                <w:sz w:val="21"/>
                <w:szCs w:val="21"/>
              </w:rPr>
            </w:pPr>
            <w:r>
              <w:rPr>
                <w:rFonts w:hint="eastAsia" w:ascii="宋体" w:hAnsi="宋体"/>
                <w:b/>
                <w:sz w:val="21"/>
                <w:szCs w:val="21"/>
              </w:rPr>
              <w:t>体系文件符合公司要求，文件和记录管理控制符合标准要求。</w:t>
            </w:r>
          </w:p>
          <w:p>
            <w:pPr>
              <w:tabs>
                <w:tab w:val="left" w:pos="540"/>
              </w:tabs>
              <w:spacing w:line="360" w:lineRule="auto"/>
              <w:rPr>
                <w:rFonts w:ascii="宋体" w:hAnsi="宋体"/>
                <w:b/>
                <w:sz w:val="21"/>
                <w:szCs w:val="21"/>
              </w:rPr>
            </w:pPr>
            <w:r>
              <w:rPr>
                <w:rFonts w:ascii="宋体" w:hAnsi="宋体"/>
                <w:sz w:val="21"/>
                <w:szCs w:val="21"/>
                <w:u w:val="none"/>
              </w:rPr>
              <w:t>体系文件符合公司要求</w:t>
            </w:r>
            <w:r>
              <w:rPr>
                <w:rFonts w:hint="eastAsia" w:ascii="宋体" w:hAnsi="宋体"/>
                <w:sz w:val="21"/>
                <w:szCs w:val="21"/>
                <w:u w:val="none"/>
              </w:rPr>
              <w:t>，</w:t>
            </w:r>
            <w:r>
              <w:rPr>
                <w:rFonts w:ascii="宋体" w:hAnsi="宋体"/>
                <w:sz w:val="21"/>
                <w:szCs w:val="21"/>
                <w:u w:val="none"/>
              </w:rPr>
              <w:t>文件和记录管理控制符合标准要求</w:t>
            </w:r>
            <w:r>
              <w:rPr>
                <w:rFonts w:hint="eastAsia" w:ascii="宋体" w:hAnsi="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60" w:lineRule="auto"/>
              <w:rPr>
                <w:rFonts w:ascii="宋体" w:hAnsi="宋体"/>
                <w:b/>
                <w:sz w:val="21"/>
                <w:szCs w:val="21"/>
              </w:rPr>
            </w:pPr>
            <w:r>
              <w:rPr>
                <w:rFonts w:hint="eastAsia" w:ascii="宋体" w:hAnsi="宋体"/>
                <w:b w:val="0"/>
                <w:bCs/>
                <w:sz w:val="21"/>
                <w:szCs w:val="21"/>
              </w:rPr>
              <w:t>主要设备有：剪板机、车床、锯床、刨床、压力机、钻床、切割机、电焊机、五金工具、起重机、离心机、压滤机、搅拌罐、装载机等生产设备，有电脑、打印机、网络设备，厂房和办公室能满足要求；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产品生产对环境没有特殊要求，车间布局科学，空间较宽敞、光线较明亮，生产和办公环境干净、整洁。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提供《监视和测量装置计量器具管理台账》有外径千分尺、内径千分尺、万用表、超声探伤仪、游标卡尺等，计量器具均在有效期内</w:t>
            </w:r>
            <w:r>
              <w:rPr>
                <w:rFonts w:hint="eastAsia" w:ascii="宋体" w:hAnsi="宋体"/>
                <w:b w:val="0"/>
                <w:bCs/>
                <w:sz w:val="21"/>
                <w:szCs w:val="21"/>
                <w:lang w:eastAsia="zh-CN"/>
              </w:rPr>
              <w:t>，</w:t>
            </w:r>
            <w:r>
              <w:rPr>
                <w:rFonts w:hint="eastAsia" w:ascii="宋体" w:hAnsi="宋体"/>
                <w:b w:val="0"/>
                <w:bCs/>
                <w:sz w:val="21"/>
                <w:szCs w:val="21"/>
              </w:rPr>
              <w:t>确定检定周期一年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服务人员有以往多年工作经验，公司老员工负有对新员工进行的传帮带经验传授的职责。外部来源获取有：管理体系辅导老师传授的体系知识及所实施的培训；生产、检验、采购、销售、技术服务、泥浆处理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管理体系方针沟通、评审符合要求。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内部沟通的情况：内部沟通方式：</w:t>
            </w:r>
            <w:r>
              <w:rPr>
                <w:rFonts w:hint="eastAsia" w:asciiTheme="minorEastAsia" w:hAnsiTheme="minorEastAsia" w:eastAsiaTheme="minorEastAsia"/>
                <w:sz w:val="21"/>
                <w:szCs w:val="21"/>
                <w:u w:val="single"/>
              </w:rPr>
              <w:t>培训、会议、宣传栏；</w:t>
            </w:r>
          </w:p>
          <w:p>
            <w:pPr>
              <w:spacing w:line="360" w:lineRule="auto"/>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 xml:space="preserve">                内部沟通的效果：</w:t>
            </w:r>
            <w:r>
              <w:rPr>
                <w:rFonts w:hint="eastAsia" w:asciiTheme="minorEastAsia" w:hAnsiTheme="minorEastAsia" w:eastAsiaTheme="minorEastAsia"/>
                <w:sz w:val="21"/>
                <w:szCs w:val="21"/>
                <w:u w:val="single"/>
              </w:rPr>
              <w:t>沟通畅通；</w:t>
            </w:r>
          </w:p>
          <w:p>
            <w:pPr>
              <w:spacing w:line="360" w:lineRule="auto"/>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组织对外联络，关注顾客的感受情况（QMS）：</w:t>
            </w:r>
            <w:r>
              <w:rPr>
                <w:rFonts w:hint="eastAsia" w:asciiTheme="minorEastAsia" w:hAnsiTheme="minorEastAsia" w:eastAsiaTheme="minorEastAsia"/>
                <w:sz w:val="21"/>
                <w:szCs w:val="21"/>
                <w:u w:val="single"/>
              </w:rPr>
              <w:t>定期组织顾客满意度调查和走访。</w:t>
            </w:r>
          </w:p>
          <w:p>
            <w:pPr>
              <w:spacing w:line="360" w:lineRule="auto"/>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外部信息的接收、成文并答复的情况（E、S填写）：</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b/>
                <w:color w:val="000000" w:themeColor="text1"/>
                <w:sz w:val="20"/>
                <w:szCs w:val="20"/>
              </w:rPr>
              <w:t>重要环境因素信息对外交流情况（EMS填写）：</w:t>
            </w:r>
            <w:r>
              <w:rPr>
                <w:rFonts w:hint="eastAsia" w:asciiTheme="minorEastAsia" w:hAnsiTheme="minorEastAsia" w:eastAsiaTheme="minorEastAsia"/>
                <w:szCs w:val="22"/>
                <w:u w:val="single"/>
              </w:rPr>
              <w:t xml:space="preserve"> 。</w:t>
            </w:r>
          </w:p>
          <w:p>
            <w:pPr>
              <w:tabs>
                <w:tab w:val="left" w:pos="9720"/>
                <w:tab w:val="left" w:pos="9900"/>
              </w:tabs>
              <w:spacing w:line="360" w:lineRule="auto"/>
              <w:rPr>
                <w:rFonts w:ascii="宋体" w:hAnsi="宋体"/>
                <w:b/>
                <w:sz w:val="21"/>
                <w:szCs w:val="21"/>
              </w:rPr>
            </w:pPr>
            <w:r>
              <w:rPr>
                <w:rFonts w:hint="eastAsia" w:asciiTheme="minorEastAsia" w:hAnsiTheme="minorEastAsia" w:eastAsiaTheme="minorEastAsia"/>
                <w:b/>
                <w:color w:val="000000" w:themeColor="text1"/>
                <w:sz w:val="20"/>
                <w:szCs w:val="20"/>
              </w:rPr>
              <w:t>OHSMS事务代表协商和交流的情况（OHSMS填写）：</w:t>
            </w:r>
            <w:r>
              <w:rPr>
                <w:rFonts w:hint="eastAsia" w:asciiTheme="minorEastAsia" w:hAnsiTheme="minorEastAsia" w:eastAsiaTheme="minorEastAsia"/>
                <w:szCs w:val="22"/>
                <w:u w:val="single"/>
              </w:rPr>
              <w:t xml:space="preserve"> 。</w:t>
            </w: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ind w:firstLine="420" w:firstLineChars="200"/>
              <w:jc w:val="left"/>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公司主要从事</w:t>
            </w:r>
            <w:r>
              <w:rPr>
                <w:rFonts w:hint="eastAsia" w:ascii="宋体" w:hAnsi="宋体" w:eastAsia="宋体" w:cs="宋体"/>
                <w:b w:val="0"/>
                <w:bCs w:val="0"/>
                <w:i w:val="0"/>
                <w:iCs w:val="0"/>
                <w:color w:val="000000" w:themeColor="text1"/>
                <w:sz w:val="21"/>
                <w:szCs w:val="21"/>
                <w:u w:val="none"/>
              </w:rPr>
              <w:t>石油钻井机械部件的生产和修理技术服务；钻井油泥、泥浆的处理</w:t>
            </w:r>
            <w:r>
              <w:rPr>
                <w:rFonts w:hint="eastAsia" w:ascii="宋体" w:hAnsi="宋体" w:eastAsia="宋体" w:cs="宋体"/>
                <w:b w:val="0"/>
                <w:bCs w:val="0"/>
                <w:i w:val="0"/>
                <w:iCs w:val="0"/>
                <w:sz w:val="21"/>
                <w:szCs w:val="21"/>
                <w:u w:val="none"/>
              </w:rPr>
              <w:t>，</w:t>
            </w:r>
          </w:p>
          <w:p>
            <w:pPr>
              <w:spacing w:line="360" w:lineRule="auto"/>
              <w:ind w:firstLine="420" w:firstLineChars="200"/>
              <w:jc w:val="left"/>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生产工艺流程为：</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 xml:space="preserve">生产流程图：采购→检验→下料→机加工→铆焊→组装→喷涂（外包）→检验→交付；  </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修理技术服务流程图：合同签订→修理方案确定→修理技术服务→客户验收交付；  　　　　　　　　　　　</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油泥、泥浆废弃物处理过程：收集→配药→搅拌→压滤→液固分别转运；</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关键过程是焊接、组装、压滤过程，特殊过程是焊接过程，对焊接过程进行了过程确认。</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公司依据客户订单，下达生产计划，接到定单后召开生产会议，进行生产、质量及管理工作协调。</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通过原材料检验、过程检验、成品检验等过程对产品质量、生产进度等进行监控。</w:t>
            </w:r>
          </w:p>
          <w:p>
            <w:pPr>
              <w:spacing w:line="360" w:lineRule="auto"/>
              <w:ind w:firstLine="420" w:firstLineChars="200"/>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为生产过程提供了适宜的设备及环境，配备了胜任的人员。</w:t>
            </w:r>
          </w:p>
          <w:p>
            <w:pPr>
              <w:spacing w:line="360" w:lineRule="auto"/>
              <w:ind w:firstLine="420" w:firstLineChars="200"/>
              <w:rPr>
                <w:rFonts w:ascii="宋体" w:hAnsi="宋体"/>
                <w:b/>
                <w:sz w:val="21"/>
                <w:szCs w:val="21"/>
              </w:rPr>
            </w:pPr>
            <w:r>
              <w:rPr>
                <w:rFonts w:hint="eastAsia" w:ascii="宋体" w:hAnsi="宋体" w:eastAsia="宋体" w:cs="宋体"/>
                <w:b w:val="0"/>
                <w:bCs w:val="0"/>
                <w:i w:val="0"/>
                <w:iCs w:val="0"/>
                <w:sz w:val="21"/>
                <w:szCs w:val="21"/>
                <w:u w:val="none"/>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hint="eastAsia" w:ascii="宋体" w:hAnsi="宋体"/>
                <w:b/>
                <w:sz w:val="21"/>
                <w:szCs w:val="21"/>
              </w:rPr>
            </w:pPr>
            <w:r>
              <w:rPr>
                <w:rFonts w:hint="eastAsia" w:ascii="宋体" w:hAnsi="宋体"/>
                <w:b w:val="0"/>
                <w:bCs/>
                <w:sz w:val="21"/>
                <w:szCs w:val="21"/>
              </w:rPr>
              <w:t>企业参考国家行业主要有：GB/T17744-2015石油天然气工业钻井和修井设备、GB/T19190-2013石油天然气工业钻井和采油提升设备、SY/T5053.2-2007钻井井口控制设备及分流设备控制系统规范、SY/T5532-2016石油钻机绞车、JB/T4238-2005调速型液力偶合器、Q/SY XN0276-2015钻井废弃物无害化处理技术规范等。</w:t>
            </w:r>
          </w:p>
          <w:p>
            <w:pPr>
              <w:spacing w:line="360" w:lineRule="auto"/>
              <w:rPr>
                <w:rFonts w:ascii="宋体" w:hAnsi="宋体"/>
                <w:b/>
                <w:sz w:val="21"/>
                <w:szCs w:val="21"/>
              </w:rPr>
            </w:pPr>
            <w:r>
              <w:rPr>
                <w:rFonts w:hint="eastAsia" w:ascii="宋体" w:hAnsi="宋体" w:cs="Times New Roman"/>
                <w:b w:val="0"/>
                <w:bCs/>
                <w:sz w:val="21"/>
                <w:szCs w:val="21"/>
              </w:rPr>
              <w:t>提供了产品出厂检验报告，产品检验合格，满足顾客要求。</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rPr>
                <w:rFonts w:asciiTheme="minorEastAsia" w:hAnsiTheme="minorEastAsia" w:eastAsiaTheme="minorEastAsia"/>
                <w:szCs w:val="22"/>
                <w:u w:val="single"/>
              </w:rPr>
            </w:pPr>
            <w:r>
              <w:rPr>
                <w:rFonts w:hint="eastAsia" w:asciiTheme="minorEastAsia" w:hAnsiTheme="minorEastAsia" w:eastAsiaTheme="minorEastAsia"/>
                <w:szCs w:val="22"/>
                <w:u w:val="single"/>
              </w:rPr>
              <w:t>无</w:t>
            </w:r>
          </w:p>
          <w:p>
            <w:pPr>
              <w:spacing w:line="240" w:lineRule="exact"/>
              <w:ind w:firstLine="211" w:firstLineChars="100"/>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提供的《不合格输出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宋体" w:hAnsi="宋体"/>
                <w:b w:val="0"/>
                <w:bCs/>
                <w:sz w:val="21"/>
                <w:szCs w:val="21"/>
              </w:rPr>
              <w:t>起重机检验合格。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lang w:eastAsia="zh-CN"/>
              </w:rPr>
              <w:t>.</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Theme="minorEastAsia" w:hAnsiTheme="minorEastAsia" w:eastAsiaTheme="minorEastAsia"/>
                <w:sz w:val="21"/>
                <w:szCs w:val="21"/>
                <w:u w:val="none"/>
              </w:rPr>
              <w:t>20</w:t>
            </w:r>
            <w:r>
              <w:rPr>
                <w:rFonts w:hint="eastAsia" w:asciiTheme="minorEastAsia" w:hAnsiTheme="minorEastAsia" w:eastAsiaTheme="minorEastAsia"/>
                <w:sz w:val="21"/>
                <w:szCs w:val="21"/>
                <w:u w:val="none"/>
                <w:lang w:val="en-US" w:eastAsia="zh-CN"/>
              </w:rPr>
              <w:t>20</w:t>
            </w:r>
            <w:r>
              <w:rPr>
                <w:rFonts w:hint="eastAsia" w:asciiTheme="minorEastAsia" w:hAnsiTheme="minorEastAsia" w:eastAsiaTheme="minorEastAsia"/>
                <w:sz w:val="21"/>
                <w:szCs w:val="21"/>
                <w:u w:val="none"/>
              </w:rPr>
              <w:t>.</w:t>
            </w:r>
            <w:r>
              <w:rPr>
                <w:rFonts w:hint="eastAsia" w:asciiTheme="minorEastAsia" w:hAnsiTheme="minorEastAsia" w:eastAsiaTheme="minorEastAsia"/>
                <w:sz w:val="21"/>
                <w:szCs w:val="21"/>
                <w:u w:val="none"/>
                <w:lang w:val="en-US" w:eastAsia="zh-CN"/>
              </w:rPr>
              <w:t>7</w:t>
            </w:r>
            <w:r>
              <w:rPr>
                <w:rFonts w:hint="eastAsia" w:asciiTheme="minorEastAsia" w:hAnsiTheme="minorEastAsia" w:eastAsiaTheme="minorEastAsia"/>
                <w:sz w:val="21"/>
                <w:szCs w:val="21"/>
                <w:u w:val="none"/>
              </w:rPr>
              <w:t>.3日对质量目标进行了检查，能达标。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360" w:lineRule="auto"/>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360" w:lineRule="auto"/>
              <w:ind w:leftChars="-50"/>
              <w:rPr>
                <w:rFonts w:ascii="宋体" w:hAnsi="宋体"/>
                <w:b/>
                <w:sz w:val="21"/>
                <w:szCs w:val="21"/>
              </w:rPr>
            </w:pPr>
            <w:r>
              <w:rPr>
                <w:rFonts w:hint="eastAsia" w:ascii="宋体" w:hAnsi="宋体"/>
                <w:b w:val="0"/>
                <w:bCs/>
                <w:sz w:val="21"/>
                <w:szCs w:val="21"/>
              </w:rPr>
              <w:t>企业主要通过开展顾客满意度调查来收集并了解顾客满意的信息，查见顾客满意程度调查表。调查表从产品质量、外观、价格、交付时间、售后服务等方面对顾客满意度进行了调查，统计结果表明顾客满意。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rPr>
              <w:t xml:space="preserve"> </w:t>
            </w:r>
            <w:r>
              <w:rPr>
                <w:rFonts w:hint="eastAsia" w:ascii="宋体" w:hAnsi="宋体" w:cs="宋体"/>
                <w:b/>
                <w:color w:val="000000"/>
                <w:sz w:val="21"/>
                <w:szCs w:val="21"/>
                <w:lang w:val="en-US" w:eastAsia="zh-CN"/>
              </w:rPr>
              <w:t xml:space="preserve">  </w:t>
            </w:r>
            <w:r>
              <w:rPr>
                <w:rFonts w:hint="eastAsia" w:ascii="宋体" w:hAnsi="宋体" w:eastAsia="宋体" w:cs="宋体"/>
                <w:sz w:val="21"/>
                <w:szCs w:val="21"/>
                <w:u w:val="none"/>
              </w:rPr>
              <w:t>每年一次，本次20</w:t>
            </w:r>
            <w:r>
              <w:rPr>
                <w:rFonts w:hint="eastAsia" w:ascii="宋体" w:hAnsi="宋体" w:cs="宋体"/>
                <w:sz w:val="21"/>
                <w:szCs w:val="21"/>
                <w:u w:val="none"/>
                <w:lang w:val="en-US" w:eastAsia="zh-CN"/>
              </w:rPr>
              <w:t>20</w:t>
            </w:r>
            <w:r>
              <w:rPr>
                <w:rFonts w:hint="eastAsia" w:ascii="宋体" w:hAnsi="宋体" w:eastAsia="宋体" w:cs="宋体"/>
                <w:sz w:val="21"/>
                <w:szCs w:val="21"/>
                <w:u w:val="none"/>
              </w:rPr>
              <w:t>.</w:t>
            </w:r>
            <w:r>
              <w:rPr>
                <w:rFonts w:hint="eastAsia" w:ascii="宋体" w:hAnsi="宋体" w:cs="宋体"/>
                <w:sz w:val="21"/>
                <w:szCs w:val="21"/>
                <w:u w:val="none"/>
                <w:lang w:val="en-US" w:eastAsia="zh-CN"/>
              </w:rPr>
              <w:t>7</w:t>
            </w:r>
            <w:r>
              <w:rPr>
                <w:rFonts w:hint="eastAsia" w:ascii="宋体" w:hAnsi="宋体" w:eastAsia="宋体" w:cs="宋体"/>
                <w:sz w:val="21"/>
                <w:szCs w:val="21"/>
                <w:u w:val="none"/>
              </w:rPr>
              <w:t>.</w:t>
            </w:r>
            <w:r>
              <w:rPr>
                <w:rFonts w:hint="eastAsia" w:ascii="宋体" w:hAnsi="宋体" w:cs="宋体"/>
                <w:sz w:val="21"/>
                <w:szCs w:val="21"/>
                <w:u w:val="none"/>
                <w:lang w:val="en-US" w:eastAsia="zh-CN"/>
              </w:rPr>
              <w:t>4</w:t>
            </w:r>
            <w:r>
              <w:rPr>
                <w:rFonts w:hint="eastAsia" w:ascii="宋体" w:hAnsi="宋体" w:eastAsia="宋体" w:cs="宋体"/>
                <w:sz w:val="21"/>
                <w:szCs w:val="21"/>
                <w:u w:val="none"/>
              </w:rPr>
              <w:t>-</w:t>
            </w:r>
            <w:r>
              <w:rPr>
                <w:rFonts w:hint="eastAsia" w:ascii="宋体" w:hAnsi="宋体" w:cs="宋体"/>
                <w:sz w:val="21"/>
                <w:szCs w:val="21"/>
                <w:u w:val="none"/>
                <w:lang w:val="en-US" w:eastAsia="zh-CN"/>
              </w:rPr>
              <w:t>5</w:t>
            </w:r>
            <w:r>
              <w:rPr>
                <w:rFonts w:hint="eastAsia" w:ascii="宋体" w:hAnsi="宋体" w:eastAsia="宋体" w:cs="宋体"/>
                <w:sz w:val="21"/>
                <w:szCs w:val="21"/>
                <w:u w:val="none"/>
              </w:rPr>
              <w:t>日内审。</w:t>
            </w:r>
          </w:p>
          <w:p>
            <w:pPr>
              <w:spacing w:line="360" w:lineRule="auto"/>
              <w:rPr>
                <w:b/>
                <w:color w:val="000000"/>
                <w:sz w:val="20"/>
                <w:szCs w:val="20"/>
              </w:rPr>
            </w:pPr>
            <w:r>
              <w:rPr>
                <w:rFonts w:hint="eastAsia"/>
                <w:b/>
                <w:color w:val="000000"/>
                <w:sz w:val="20"/>
                <w:szCs w:val="20"/>
              </w:rPr>
              <w:t xml:space="preserve">了解内审是否覆盖了管理体系范围内的活动及标准的要求; </w:t>
            </w:r>
          </w:p>
          <w:p>
            <w:pPr>
              <w:spacing w:line="360" w:lineRule="auto"/>
              <w:ind w:firstLine="240" w:firstLineChars="100"/>
              <w:rPr>
                <w:rFonts w:ascii="宋体" w:hAnsi="宋体" w:eastAsia="宋体"/>
                <w:szCs w:val="22"/>
                <w:u w:val="none"/>
              </w:rPr>
            </w:pPr>
            <w:r>
              <w:rPr>
                <w:rFonts w:hint="eastAsia" w:ascii="宋体" w:hAnsi="宋体" w:eastAsia="宋体"/>
                <w:szCs w:val="22"/>
                <w:u w:val="none"/>
              </w:rPr>
              <w:t>覆盖。</w:t>
            </w:r>
          </w:p>
          <w:p>
            <w:pPr>
              <w:spacing w:line="360" w:lineRule="auto"/>
              <w:rPr>
                <w:b/>
                <w:color w:val="000000"/>
                <w:sz w:val="20"/>
                <w:szCs w:val="20"/>
              </w:rPr>
            </w:pPr>
            <w:r>
              <w:rPr>
                <w:rFonts w:hint="eastAsia"/>
                <w:b/>
                <w:color w:val="000000"/>
                <w:sz w:val="20"/>
                <w:szCs w:val="20"/>
              </w:rPr>
              <w:t>了解内审结论是什么？</w:t>
            </w:r>
          </w:p>
          <w:p>
            <w:pPr>
              <w:spacing w:line="360" w:lineRule="auto"/>
              <w:rPr>
                <w:rFonts w:ascii="宋体" w:hAnsi="宋体"/>
                <w:b/>
                <w:sz w:val="21"/>
                <w:szCs w:val="21"/>
              </w:rPr>
            </w:pPr>
            <w:r>
              <w:rPr>
                <w:rFonts w:hint="eastAsia" w:ascii="宋体" w:hAnsi="宋体" w:eastAsia="宋体"/>
                <w:sz w:val="21"/>
                <w:szCs w:val="22"/>
                <w:u w:val="none"/>
              </w:rPr>
              <w:t>本次内审从体系运行的效果看，产品实体质量和受控情况有所改进，员工质量意识和顾客满意度有不同程度提高，管理以及物流和信息流的传递都有一定改进。说明公司质量管理体系总体有效运行，基本符合GB/T 19001</w:t>
            </w:r>
            <w:r>
              <w:rPr>
                <w:rFonts w:hint="eastAsia" w:ascii="宋体" w:hAnsi="宋体"/>
                <w:sz w:val="21"/>
                <w:szCs w:val="22"/>
                <w:u w:val="none"/>
                <w:lang w:val="en-US" w:eastAsia="zh-CN"/>
              </w:rPr>
              <w:t>-</w:t>
            </w:r>
            <w:r>
              <w:rPr>
                <w:rFonts w:hint="eastAsia" w:ascii="宋体" w:hAnsi="宋体" w:eastAsia="宋体"/>
                <w:sz w:val="21"/>
                <w:szCs w:val="22"/>
                <w:u w:val="none"/>
              </w:rPr>
              <w:t>2016及体系文件的要求，具备达到规定的质量目标的能力。已发现的1个不符合项已及时纠正整改。</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210" w:firstLineChars="100"/>
              <w:rPr>
                <w:b/>
                <w:color w:val="000000"/>
                <w:sz w:val="21"/>
                <w:szCs w:val="21"/>
                <w:u w:val="none"/>
              </w:rPr>
            </w:pPr>
            <w:r>
              <w:rPr>
                <w:rFonts w:hint="eastAsia" w:ascii="宋体" w:hAnsi="宋体" w:eastAsia="宋体"/>
                <w:sz w:val="21"/>
                <w:szCs w:val="21"/>
                <w:u w:val="none"/>
              </w:rPr>
              <w:t>每年一次，20</w:t>
            </w:r>
            <w:r>
              <w:rPr>
                <w:rFonts w:hint="eastAsia" w:ascii="宋体" w:hAnsi="宋体" w:eastAsia="宋体"/>
                <w:sz w:val="21"/>
                <w:szCs w:val="21"/>
                <w:u w:val="none"/>
                <w:lang w:val="en-US" w:eastAsia="zh-CN"/>
              </w:rPr>
              <w:t>20</w:t>
            </w:r>
            <w:r>
              <w:rPr>
                <w:rFonts w:hint="eastAsia" w:ascii="宋体" w:hAnsi="宋体" w:eastAsia="宋体"/>
                <w:sz w:val="21"/>
                <w:szCs w:val="21"/>
                <w:u w:val="none"/>
              </w:rPr>
              <w:t>.</w:t>
            </w:r>
            <w:r>
              <w:rPr>
                <w:rFonts w:hint="eastAsia" w:ascii="宋体" w:hAnsi="宋体"/>
                <w:sz w:val="21"/>
                <w:szCs w:val="21"/>
                <w:u w:val="none"/>
                <w:lang w:val="en-US" w:eastAsia="zh-CN"/>
              </w:rPr>
              <w:t>7</w:t>
            </w:r>
            <w:r>
              <w:rPr>
                <w:rFonts w:hint="eastAsia" w:ascii="宋体" w:hAnsi="宋体" w:eastAsia="宋体"/>
                <w:sz w:val="21"/>
                <w:szCs w:val="21"/>
                <w:u w:val="none"/>
              </w:rPr>
              <w:t>.2</w:t>
            </w:r>
            <w:r>
              <w:rPr>
                <w:rFonts w:hint="eastAsia" w:ascii="宋体" w:hAnsi="宋体" w:eastAsia="宋体"/>
                <w:sz w:val="21"/>
                <w:szCs w:val="21"/>
                <w:u w:val="none"/>
                <w:lang w:val="en-US" w:eastAsia="zh-CN"/>
              </w:rPr>
              <w:t>0</w:t>
            </w:r>
            <w:r>
              <w:rPr>
                <w:rFonts w:hint="eastAsia" w:ascii="宋体" w:hAnsi="宋体" w:eastAsia="宋体"/>
                <w:sz w:val="21"/>
                <w:szCs w:val="21"/>
                <w:u w:val="none"/>
              </w:rPr>
              <w:t>日管理评审。</w:t>
            </w:r>
          </w:p>
          <w:p>
            <w:pPr>
              <w:spacing w:line="360" w:lineRule="auto"/>
              <w:rPr>
                <w:b/>
                <w:color w:val="000000"/>
                <w:sz w:val="20"/>
                <w:szCs w:val="20"/>
              </w:rPr>
            </w:pPr>
            <w:r>
              <w:rPr>
                <w:rFonts w:hint="eastAsia"/>
                <w:b/>
                <w:color w:val="000000"/>
                <w:sz w:val="20"/>
                <w:szCs w:val="20"/>
              </w:rPr>
              <w:t xml:space="preserve">了解管理评审输入是否充分; </w:t>
            </w:r>
          </w:p>
          <w:p>
            <w:pPr>
              <w:spacing w:line="360" w:lineRule="auto"/>
              <w:ind w:firstLine="210" w:firstLineChars="100"/>
              <w:rPr>
                <w:rFonts w:ascii="宋体" w:hAnsi="宋体" w:eastAsia="宋体"/>
                <w:sz w:val="21"/>
                <w:szCs w:val="21"/>
                <w:u w:val="none"/>
              </w:rPr>
            </w:pPr>
            <w:r>
              <w:rPr>
                <w:rFonts w:hint="eastAsia" w:ascii="宋体" w:hAnsi="宋体" w:eastAsia="宋体"/>
                <w:sz w:val="21"/>
                <w:szCs w:val="21"/>
                <w:u w:val="none"/>
              </w:rPr>
              <w:t>输入基本充分。</w:t>
            </w:r>
          </w:p>
          <w:p>
            <w:pPr>
              <w:spacing w:line="360" w:lineRule="auto"/>
              <w:rPr>
                <w:b/>
                <w:color w:val="000000"/>
                <w:sz w:val="20"/>
                <w:szCs w:val="20"/>
              </w:rPr>
            </w:pPr>
            <w:r>
              <w:rPr>
                <w:rFonts w:hint="eastAsia"/>
                <w:b/>
                <w:color w:val="000000"/>
                <w:sz w:val="20"/>
                <w:szCs w:val="20"/>
              </w:rPr>
              <w:t xml:space="preserve">了解管理评审结论; </w:t>
            </w:r>
          </w:p>
          <w:p>
            <w:pPr>
              <w:spacing w:line="240" w:lineRule="exact"/>
              <w:rPr>
                <w:rFonts w:ascii="宋体" w:hAnsi="宋体"/>
                <w:b/>
                <w:sz w:val="21"/>
                <w:szCs w:val="21"/>
              </w:rPr>
            </w:pPr>
            <w:r>
              <w:rPr>
                <w:rFonts w:hint="eastAsia"/>
                <w:sz w:val="24"/>
                <w:lang w:val="en-US" w:eastAsia="zh-CN"/>
              </w:rPr>
              <w:t xml:space="preserve"> </w:t>
            </w:r>
            <w:r>
              <w:rPr>
                <w:rFonts w:hint="eastAsia"/>
                <w:sz w:val="21"/>
                <w:szCs w:val="21"/>
              </w:rPr>
              <w:t>公司的质量管理体系基本适宜、充分和有效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7"/>
              </w:numPr>
              <w:spacing w:line="360" w:lineRule="auto"/>
              <w:jc w:val="lef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jc w:val="left"/>
              <w:rPr>
                <w:rFonts w:ascii="宋体" w:hAnsi="宋体"/>
                <w:b/>
                <w:sz w:val="21"/>
                <w:szCs w:val="21"/>
              </w:rPr>
            </w:pPr>
            <w:r>
              <w:rPr>
                <w:rFonts w:hint="eastAsia" w:ascii="宋体" w:hAnsi="宋体" w:eastAsia="宋体"/>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r>
              <w:rPr>
                <w:rFonts w:hint="eastAsia" w:ascii="宋体" w:hAnsi="宋体"/>
                <w:b w:val="0"/>
                <w:bCs/>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360" w:lineRule="auto"/>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ind w:leftChars="-50"/>
              <w:rPr>
                <w:rFonts w:hint="eastAsia" w:ascii="宋体" w:hAnsi="宋体" w:eastAsia="宋体"/>
                <w:b/>
                <w:sz w:val="21"/>
                <w:szCs w:val="21"/>
                <w:lang w:val="en-US" w:eastAsia="zh-CN"/>
              </w:rPr>
            </w:pPr>
            <w:r>
              <w:rPr>
                <w:rFonts w:hint="eastAsia" w:ascii="宋体" w:hAnsi="宋体" w:cs="Times New Roman"/>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360" w:lineRule="auto"/>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50" w:firstLine="420" w:firstLineChars="200"/>
              <w:rPr>
                <w:rFonts w:hint="default" w:ascii="宋体" w:hAnsi="宋体" w:eastAsia="宋体"/>
                <w:b w:val="0"/>
                <w:bCs/>
                <w:sz w:val="21"/>
                <w:szCs w:val="21"/>
                <w:lang w:val="en-US" w:eastAsia="zh-CN"/>
              </w:rPr>
            </w:pPr>
            <w:r>
              <w:rPr>
                <w:rFonts w:hint="eastAsia" w:ascii="宋体" w:hAnsi="宋体"/>
                <w:b w:val="0"/>
                <w:bCs/>
                <w:sz w:val="21"/>
                <w:szCs w:val="21"/>
              </w:rPr>
              <w:t>上次不符合</w:t>
            </w:r>
            <w:r>
              <w:rPr>
                <w:rFonts w:hint="eastAsia" w:ascii="宋体" w:hAnsi="宋体"/>
                <w:b w:val="0"/>
                <w:bCs/>
                <w:sz w:val="21"/>
                <w:szCs w:val="21"/>
                <w:lang w:val="en-US" w:eastAsia="zh-CN"/>
              </w:rPr>
              <w:t>经验证已整改完成</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10" w:firstLineChars="100"/>
              <w:rPr>
                <w:rFonts w:ascii="宋体" w:hAnsi="宋体"/>
                <w:b/>
                <w:szCs w:val="21"/>
              </w:rPr>
            </w:pPr>
            <w:r>
              <w:rPr>
                <w:rFonts w:hint="eastAsia" w:ascii="宋体" w:hAnsi="宋体" w:eastAsia="宋体" w:cs="宋体"/>
                <w:bCs/>
                <w:color w:val="000000"/>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drawing>
          <wp:anchor distT="0" distB="0" distL="114300" distR="114300" simplePos="0" relativeHeight="251659264" behindDoc="0" locked="0" layoutInCell="1" allowOverlap="1">
            <wp:simplePos x="0" y="0"/>
            <wp:positionH relativeFrom="column">
              <wp:posOffset>1959610</wp:posOffset>
            </wp:positionH>
            <wp:positionV relativeFrom="paragraph">
              <wp:posOffset>240665</wp:posOffset>
            </wp:positionV>
            <wp:extent cx="321310" cy="254000"/>
            <wp:effectExtent l="0" t="0" r="889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1310" cy="254000"/>
                    </a:xfrm>
                    <a:prstGeom prst="rect">
                      <a:avLst/>
                    </a:prstGeom>
                    <a:noFill/>
                    <a:ln>
                      <a:noFill/>
                    </a:ln>
                  </pic:spPr>
                </pic:pic>
              </a:graphicData>
            </a:graphic>
          </wp:anchor>
        </w:drawing>
      </w:r>
      <w:r>
        <w:rPr>
          <w:rFonts w:hint="eastAsia"/>
          <w:b/>
          <w:sz w:val="26"/>
          <w:szCs w:val="26"/>
        </w:rPr>
        <w:t>十二、审核组签字</w:t>
      </w:r>
      <w:bookmarkStart w:id="27" w:name="_GoBack"/>
      <w:bookmarkEnd w:id="27"/>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rFonts w:hint="default" w:eastAsia="宋体"/>
          <w:b/>
          <w:sz w:val="21"/>
          <w:lang w:val="en-US" w:eastAsia="zh-CN"/>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1804670</wp:posOffset>
            </wp:positionH>
            <wp:positionV relativeFrom="paragraph">
              <wp:posOffset>5715</wp:posOffset>
            </wp:positionV>
            <wp:extent cx="938530" cy="377190"/>
            <wp:effectExtent l="0" t="0" r="1270" b="3810"/>
            <wp:wrapNone/>
            <wp:docPr id="23" name="图片 23" descr="744b4094d0f26d1e18a7a8fdfb51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44b4094d0f26d1e18a7a8fdfb5185b"/>
                    <pic:cNvPicPr>
                      <a:picLocks noChangeAspect="1"/>
                    </pic:cNvPicPr>
                  </pic:nvPicPr>
                  <pic:blipFill>
                    <a:blip r:embed="rId7"/>
                    <a:stretch>
                      <a:fillRect/>
                    </a:stretch>
                  </pic:blipFill>
                  <pic:spPr>
                    <a:xfrm>
                      <a:off x="0" y="0"/>
                      <a:ext cx="938530" cy="377190"/>
                    </a:xfrm>
                    <a:prstGeom prst="rect">
                      <a:avLst/>
                    </a:prstGeom>
                  </pic:spPr>
                </pic:pic>
              </a:graphicData>
            </a:graphic>
          </wp:anchor>
        </w:drawing>
      </w:r>
      <w:r>
        <w:rPr>
          <w:rFonts w:hint="eastAsia"/>
          <w:b/>
          <w:sz w:val="21"/>
        </w:rPr>
        <w:t>审核组组员（签名）：</w:t>
      </w:r>
      <w:r>
        <w:rPr>
          <w:rFonts w:hint="eastAsia"/>
          <w:b/>
          <w:sz w:val="21"/>
          <w:lang w:val="en-US" w:eastAsia="zh-CN"/>
        </w:rPr>
        <w:t xml:space="preserve">                                      </w:t>
      </w:r>
      <w:r>
        <w:rPr>
          <w:rFonts w:hint="eastAsia"/>
          <w:b/>
          <w:sz w:val="21"/>
        </w:rPr>
        <w:t>日期：</w:t>
      </w:r>
      <w:r>
        <w:rPr>
          <w:rFonts w:hint="eastAsia"/>
          <w:b/>
          <w:sz w:val="21"/>
          <w:lang w:val="en-US" w:eastAsia="zh-CN"/>
        </w:rPr>
        <w:t>2020.9.7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099" w:firstLineChars="11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0288" behindDoc="0" locked="0" layoutInCell="1" allowOverlap="1">
            <wp:simplePos x="0" y="0"/>
            <wp:positionH relativeFrom="column">
              <wp:posOffset>1280160</wp:posOffset>
            </wp:positionH>
            <wp:positionV relativeFrom="paragraph">
              <wp:posOffset>52705</wp:posOffset>
            </wp:positionV>
            <wp:extent cx="327660" cy="259080"/>
            <wp:effectExtent l="0" t="0" r="254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27660" cy="25908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2020.8.9</w:t>
      </w:r>
    </w:p>
    <w:p>
      <w:pPr>
        <w:ind w:left="783" w:hanging="783" w:hangingChars="300"/>
        <w:rPr>
          <w:b/>
          <w:sz w:val="21"/>
          <w:u w:val="single"/>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8"/>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A2252"/>
    <w:multiLevelType w:val="singleLevel"/>
    <w:tmpl w:val="C9EA2252"/>
    <w:lvl w:ilvl="0" w:tentative="0">
      <w:start w:val="9"/>
      <w:numFmt w:val="decimal"/>
      <w:suff w:val="space"/>
      <w:lvlText w:val="%1."/>
      <w:lvlJc w:val="left"/>
    </w:lvl>
  </w:abstractNum>
  <w:abstractNum w:abstractNumId="1">
    <w:nsid w:val="E3D2E9D9"/>
    <w:multiLevelType w:val="singleLevel"/>
    <w:tmpl w:val="E3D2E9D9"/>
    <w:lvl w:ilvl="0" w:tentative="0">
      <w:start w:val="3"/>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5A44EAE"/>
    <w:multiLevelType w:val="multilevel"/>
    <w:tmpl w:val="25A44EAE"/>
    <w:lvl w:ilvl="0" w:tentative="0">
      <w:start w:val="1"/>
      <w:numFmt w:val="decimal"/>
      <w:lvlText w:val="%1."/>
      <w:lvlJc w:val="left"/>
      <w:pPr>
        <w:tabs>
          <w:tab w:val="left" w:pos="855"/>
        </w:tabs>
        <w:ind w:left="855" w:hanging="405"/>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4B7CC36"/>
    <w:multiLevelType w:val="singleLevel"/>
    <w:tmpl w:val="74B7CC36"/>
    <w:lvl w:ilvl="0" w:tentative="0">
      <w:start w:val="2"/>
      <w:numFmt w:val="decimal"/>
      <w:lvlText w:val="%1."/>
      <w:lvlJc w:val="left"/>
      <w:pPr>
        <w:tabs>
          <w:tab w:val="left" w:pos="312"/>
        </w:tabs>
      </w:pPr>
    </w:lvl>
  </w:abstractNum>
  <w:abstractNum w:abstractNumId="6">
    <w:nsid w:val="7890A197"/>
    <w:multiLevelType w:val="singleLevel"/>
    <w:tmpl w:val="7890A197"/>
    <w:lvl w:ilvl="0" w:tentative="0">
      <w:start w:val="2"/>
      <w:numFmt w:val="decimal"/>
      <w:suff w:val="nothing"/>
      <w:lvlText w:val="%1、"/>
      <w:lvlJc w:val="left"/>
    </w:lvl>
  </w:abstractNum>
  <w:num w:numId="1">
    <w:abstractNumId w:val="6"/>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4C212E"/>
    <w:rsid w:val="3D8A7928"/>
    <w:rsid w:val="51DE36B1"/>
    <w:rsid w:val="6C554767"/>
    <w:rsid w:val="75914F1D"/>
    <w:rsid w:val="7D390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2020-09-07T20:41:42Z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