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成都金戈石油机械有限公司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39.03.02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刘国斌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39.03.02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39.03.02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　　　　　　　　　　　</w:t>
            </w:r>
          </w:p>
          <w:p>
            <w:pPr>
              <w:spacing w:line="360" w:lineRule="auto"/>
              <w:ind w:firstLine="420" w:firstLineChars="20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油泥、泥浆废弃物处理过程：收集→配药→搅拌→压滤→液固分别转运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；</w:t>
            </w:r>
          </w:p>
          <w:p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特殊过程的控制/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需严格按照作业指导书生产</w:t>
            </w:r>
            <w:r>
              <w:rPr>
                <w:rFonts w:hint="eastAsia"/>
                <w:sz w:val="21"/>
                <w:szCs w:val="21"/>
              </w:rPr>
              <w:t>，重点</w:t>
            </w:r>
            <w:r>
              <w:rPr>
                <w:sz w:val="21"/>
                <w:szCs w:val="21"/>
              </w:rPr>
              <w:t>控制温度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压力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时间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Q/SY XN0276-2015钻井废弃物无害化处理技术规范，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spacing w:after="120" w:afterLines="50" w:line="320" w:lineRule="exact"/>
        <w:jc w:val="both"/>
        <w:rPr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 xml:space="preserve">填表人(专业人员)： 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刘国斌</w:t>
      </w:r>
      <w:r>
        <w:rPr>
          <w:rFonts w:hint="eastAsia" w:ascii="宋体"/>
          <w:b/>
          <w:spacing w:val="-6"/>
          <w:sz w:val="21"/>
          <w:szCs w:val="21"/>
        </w:rPr>
        <w:t xml:space="preserve">      日期：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2020.9.7</w:t>
      </w:r>
      <w:r>
        <w:rPr>
          <w:rFonts w:hint="eastAsia" w:ascii="宋体"/>
          <w:b/>
          <w:spacing w:val="-6"/>
          <w:sz w:val="21"/>
          <w:szCs w:val="21"/>
        </w:rPr>
        <w:t xml:space="preserve">    审核组长：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李俐</w:t>
      </w:r>
      <w:r>
        <w:rPr>
          <w:rFonts w:hint="eastAsia" w:ascii="宋体"/>
          <w:b/>
          <w:spacing w:val="-6"/>
          <w:sz w:val="21"/>
          <w:szCs w:val="21"/>
        </w:rPr>
        <w:t xml:space="preserve">        日期：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2020.9.7</w:t>
      </w:r>
      <w:r>
        <w:rPr>
          <w:rFonts w:hint="eastAsia" w:ascii="宋体"/>
          <w:b/>
          <w:spacing w:val="-6"/>
          <w:sz w:val="21"/>
          <w:szCs w:val="21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bookmarkStart w:id="4" w:name="_GoBack"/>
      <w:bookmarkEnd w:id="4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D6B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2020-09-07T05:21:20Z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