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01" w:rightChars="191"/>
        <w:jc w:val="center"/>
        <w:rPr>
          <w:rFonts w:hint="eastAsia" w:ascii="宋体" w:hAnsi="宋体"/>
          <w:sz w:val="18"/>
        </w:rPr>
      </w:pPr>
      <w:r>
        <w:rPr>
          <w:rFonts w:hint="eastAsia"/>
          <w:lang w:val="en-US" w:eastAsia="zh-CN"/>
        </w:rPr>
        <w:t xml:space="preserve">                                                 </w:t>
      </w:r>
      <w:r>
        <w:rPr>
          <w:rFonts w:hint="eastAsia" w:ascii="宋体" w:hAnsi="宋体"/>
          <w:sz w:val="18"/>
        </w:rPr>
        <w:t xml:space="preserve">  编  号：</w:t>
      </w:r>
      <w:bookmarkStart w:id="0" w:name="合同编号"/>
      <w:r>
        <w:rPr>
          <w:szCs w:val="44"/>
        </w:rPr>
        <w:t>0407-2020-Q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海南筑通混凝土有限公司</w:t>
      </w:r>
      <w:bookmarkEnd w:id="1"/>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3"/>
          <w:rFonts w:hint="eastAsia" w:ascii="楷体" w:hAnsi="楷体" w:eastAsia="楷体"/>
          <w:b/>
          <w:sz w:val="36"/>
          <w:szCs w:val="36"/>
        </w:rPr>
        <w:t>www.china-isc.org.cn</w:t>
      </w:r>
      <w:r>
        <w:rPr>
          <w:rStyle w:val="13"/>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4"/>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张伟建</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16.02.03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p>
        </w:tc>
        <w:tc>
          <w:tcPr>
            <w:tcW w:w="992" w:type="dxa"/>
            <w:vAlign w:val="center"/>
          </w:tcPr>
          <w:p>
            <w:pPr>
              <w:spacing w:line="240" w:lineRule="exact"/>
              <w:jc w:val="center"/>
              <w:rPr>
                <w:b/>
                <w:color w:val="000000" w:themeColor="text1"/>
                <w:sz w:val="20"/>
                <w:szCs w:val="20"/>
              </w:rPr>
            </w:pPr>
          </w:p>
        </w:tc>
        <w:tc>
          <w:tcPr>
            <w:tcW w:w="1216" w:type="dxa"/>
            <w:vAlign w:val="center"/>
          </w:tcPr>
          <w:p>
            <w:pPr>
              <w:spacing w:line="240" w:lineRule="exact"/>
              <w:jc w:val="center"/>
              <w:rPr>
                <w:b/>
                <w:color w:val="000000" w:themeColor="text1"/>
                <w:sz w:val="20"/>
                <w:szCs w:val="20"/>
              </w:rPr>
            </w:pPr>
          </w:p>
        </w:tc>
        <w:tc>
          <w:tcPr>
            <w:tcW w:w="3478" w:type="dxa"/>
            <w:gridSpan w:val="3"/>
            <w:vAlign w:val="center"/>
          </w:tcPr>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4"/>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8.3条款</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4"/>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4"/>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海南筑通混凝土有限公司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hint="default" w:ascii="宋体" w:hAnsi="宋体" w:eastAsia="宋体"/>
                <w:b/>
                <w:color w:val="000000" w:themeColor="text1"/>
                <w:sz w:val="20"/>
                <w:szCs w:val="20"/>
                <w:lang w:val="en-US" w:eastAsia="zh-CN"/>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海南省海口市南海大道北边16.5公里处</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570300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海南省海口市南海大道北边16.5公里处</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570300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符雅</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0898-68715738</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2" w:name="联系人传真"/>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刘明胜</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3" w:name="最高管理者"/>
            <w:bookmarkEnd w:id="3"/>
            <w:r>
              <w:rPr>
                <w:rFonts w:hint="eastAsia"/>
              </w:rPr>
              <w:t xml:space="preserve">陈昌银 </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符雅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4" w:name="审核范围"/>
            <w:r>
              <w:rPr>
                <w:rFonts w:ascii="宋体" w:hAnsi="宋体"/>
                <w:b/>
                <w:color w:val="000000" w:themeColor="text1"/>
                <w:sz w:val="20"/>
                <w:szCs w:val="20"/>
              </w:rPr>
              <w:t>预拌混凝土的生产和销售</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5" w:name="专业代码"/>
            <w:r>
              <w:rPr>
                <w:rFonts w:ascii="宋体" w:hAnsi="宋体"/>
                <w:b/>
                <w:color w:val="000000" w:themeColor="text1"/>
                <w:sz w:val="20"/>
                <w:szCs w:val="20"/>
              </w:rPr>
              <w:t>16.02.03</w:t>
            </w:r>
            <w:bookmarkEnd w:id="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6" w:name="体系运行时间"/>
            <w:r>
              <w:rPr>
                <w:rFonts w:ascii="宋体" w:hAnsi="宋体"/>
                <w:b/>
                <w:color w:val="000000" w:themeColor="text1"/>
                <w:sz w:val="20"/>
                <w:szCs w:val="20"/>
              </w:rPr>
              <w:t>2020-04-08 0:00:00</w:t>
            </w:r>
            <w:bookmarkEnd w:id="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r>
              <w:rPr>
                <w:rFonts w:ascii="宋体" w:hAnsi="宋体"/>
                <w:b/>
                <w:color w:val="000000" w:themeColor="text1"/>
                <w:sz w:val="20"/>
                <w:szCs w:val="20"/>
              </w:rPr>
              <w:t>2020-08-23 -- 2020-08-30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品质部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销售</w:t>
            </w:r>
            <w:r>
              <w:rPr>
                <w:rFonts w:hint="eastAsia" w:ascii="宋体" w:hAnsi="宋体"/>
                <w:b/>
                <w:color w:val="000000" w:themeColor="text1"/>
                <w:sz w:val="20"/>
                <w:szCs w:val="20"/>
                <w:lang w:eastAsia="zh-CN"/>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093"/>
        <w:gridCol w:w="762"/>
        <w:gridCol w:w="5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9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762" w:type="dxa"/>
          </w:tcPr>
          <w:p>
            <w:pPr>
              <w:rPr>
                <w:b/>
                <w:color w:val="000000" w:themeColor="text1"/>
                <w:sz w:val="20"/>
                <w:szCs w:val="20"/>
              </w:rPr>
            </w:pPr>
            <w:r>
              <w:rPr>
                <w:rFonts w:hint="eastAsia"/>
                <w:b/>
                <w:color w:val="000000" w:themeColor="text1"/>
                <w:sz w:val="20"/>
                <w:szCs w:val="20"/>
              </w:rPr>
              <w:t>规格</w:t>
            </w:r>
          </w:p>
        </w:tc>
        <w:tc>
          <w:tcPr>
            <w:tcW w:w="5991"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89" w:type="dxa"/>
          </w:tcPr>
          <w:p>
            <w:pPr>
              <w:spacing w:line="0" w:lineRule="atLeast"/>
              <w:jc w:val="left"/>
              <w:rPr>
                <w:b/>
                <w:color w:val="FF0000"/>
                <w:sz w:val="20"/>
                <w:szCs w:val="20"/>
              </w:rPr>
            </w:pPr>
            <w:r>
              <w:rPr>
                <w:rFonts w:ascii="宋体" w:hAnsi="宋体"/>
                <w:b/>
                <w:color w:val="000000" w:themeColor="text1"/>
                <w:sz w:val="20"/>
                <w:szCs w:val="20"/>
              </w:rPr>
              <w:t>预拌混凝土的生产和销售</w:t>
            </w:r>
          </w:p>
        </w:tc>
        <w:tc>
          <w:tcPr>
            <w:tcW w:w="1093" w:type="dxa"/>
          </w:tcPr>
          <w:p>
            <w:pPr>
              <w:rPr>
                <w:b/>
                <w:sz w:val="20"/>
                <w:szCs w:val="20"/>
              </w:rPr>
            </w:pPr>
          </w:p>
        </w:tc>
        <w:tc>
          <w:tcPr>
            <w:tcW w:w="762" w:type="dxa"/>
          </w:tcPr>
          <w:p>
            <w:pPr>
              <w:rPr>
                <w:b/>
                <w:color w:val="000000" w:themeColor="text1"/>
                <w:sz w:val="20"/>
                <w:szCs w:val="20"/>
              </w:rPr>
            </w:pPr>
          </w:p>
        </w:tc>
        <w:tc>
          <w:tcPr>
            <w:tcW w:w="5991" w:type="dxa"/>
          </w:tcPr>
          <w:p>
            <w:pPr>
              <w:spacing w:line="0" w:lineRule="atLeast"/>
              <w:jc w:val="left"/>
              <w:rPr>
                <w:rFonts w:hint="eastAsia" w:ascii="宋体" w:hAnsi="宋体" w:eastAsia="宋体"/>
                <w:b/>
                <w:color w:val="000000" w:themeColor="text1"/>
                <w:sz w:val="20"/>
                <w:szCs w:val="20"/>
              </w:rPr>
            </w:pPr>
            <w:r>
              <w:rPr>
                <w:rFonts w:hint="eastAsia" w:ascii="宋体" w:hAnsi="宋体" w:eastAsia="宋体"/>
                <w:b/>
                <w:color w:val="000000" w:themeColor="text1"/>
                <w:sz w:val="20"/>
                <w:szCs w:val="20"/>
              </w:rPr>
              <w:t>DBJ 08-227-1997</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预拌混凝土生产技术规程</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DBJ 46-018-2019</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海南省预拌混凝土应用技术标准</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DG/TJ 08-2034-2008</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预拌混凝土和预制混凝土构件生产质量管理规程</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GB/T 14902-2012</w:t>
            </w:r>
            <w:r>
              <w:rPr>
                <w:rFonts w:hint="eastAsia" w:ascii="宋体" w:hAnsi="宋体" w:eastAsia="宋体"/>
                <w:b/>
                <w:color w:val="000000" w:themeColor="text1"/>
                <w:sz w:val="20"/>
                <w:szCs w:val="20"/>
              </w:rPr>
              <w:tab/>
            </w:r>
            <w:r>
              <w:rPr>
                <w:rFonts w:hint="eastAsia" w:ascii="宋体" w:hAnsi="宋体" w:eastAsia="宋体"/>
                <w:b/>
                <w:color w:val="000000" w:themeColor="text1"/>
                <w:sz w:val="20"/>
                <w:szCs w:val="20"/>
              </w:rPr>
              <w:t xml:space="preserve"> 预拌混凝土</w:t>
            </w:r>
          </w:p>
          <w:p>
            <w:pPr>
              <w:rPr>
                <w:rFonts w:hint="eastAsia"/>
              </w:rPr>
            </w:pPr>
            <w:r>
              <w:rPr>
                <w:rFonts w:hint="eastAsia"/>
              </w:rPr>
              <w:t xml:space="preserve"> GB 36888-2018</w:t>
            </w:r>
            <w:r>
              <w:rPr>
                <w:rFonts w:hint="eastAsia"/>
              </w:rPr>
              <w:tab/>
            </w:r>
            <w:r>
              <w:rPr>
                <w:rFonts w:hint="eastAsia"/>
              </w:rPr>
              <w:t xml:space="preserve"> 预拌混凝土单位产品能源消耗限额</w:t>
            </w:r>
            <w:r>
              <w:rPr>
                <w:rFonts w:hint="eastAsia"/>
              </w:rPr>
              <w:tab/>
            </w:r>
            <w:r>
              <w:rPr>
                <w:rFonts w:hint="eastAsia"/>
              </w:rPr>
              <w:t xml:space="preserve"> HJ/T 412-2007</w:t>
            </w:r>
            <w:r>
              <w:rPr>
                <w:rFonts w:hint="eastAsia"/>
              </w:rPr>
              <w:tab/>
            </w:r>
            <w:r>
              <w:rPr>
                <w:rFonts w:hint="eastAsia"/>
              </w:rPr>
              <w:t xml:space="preserve"> 环境标志产品技术要求 预拌混凝土</w:t>
            </w:r>
            <w:r>
              <w:rPr>
                <w:rFonts w:hint="eastAsia"/>
              </w:rPr>
              <w:tab/>
            </w:r>
            <w:r>
              <w:rPr>
                <w:rFonts w:hint="eastAsia"/>
              </w:rPr>
              <w:t xml:space="preserve"> JC/T 2533-2019</w:t>
            </w:r>
            <w:r>
              <w:rPr>
                <w:rFonts w:hint="eastAsia"/>
              </w:rPr>
              <w:tab/>
            </w:r>
            <w:r>
              <w:rPr>
                <w:rFonts w:hint="eastAsia"/>
              </w:rPr>
              <w:t xml:space="preserve"> 预拌混凝土企业安全生产规范</w:t>
            </w:r>
            <w:r>
              <w:rPr>
                <w:rFonts w:hint="eastAsia"/>
              </w:rPr>
              <w:tab/>
            </w:r>
            <w:r>
              <w:rPr>
                <w:rFonts w:hint="eastAsia"/>
              </w:rPr>
              <w:t xml:space="preserve"> JC/T 60002-2019</w:t>
            </w:r>
            <w:r>
              <w:rPr>
                <w:rFonts w:hint="eastAsia"/>
              </w:rPr>
              <w:tab/>
            </w:r>
            <w:r>
              <w:rPr>
                <w:rFonts w:hint="eastAsia"/>
              </w:rPr>
              <w:t xml:space="preserve"> 预拌混凝土搅拌站单方成本计算方法及评价指标</w:t>
            </w:r>
            <w:r>
              <w:rPr>
                <w:rFonts w:hint="eastAsia"/>
              </w:rPr>
              <w:tab/>
            </w:r>
            <w:r>
              <w:rPr>
                <w:rFonts w:hint="eastAsia"/>
              </w:rPr>
              <w:t xml:space="preserve"> JGJ/T 328-2014</w:t>
            </w:r>
            <w:r>
              <w:rPr>
                <w:rFonts w:hint="eastAsia"/>
              </w:rPr>
              <w:tab/>
            </w:r>
            <w:r>
              <w:rPr>
                <w:rFonts w:hint="eastAsia"/>
              </w:rPr>
              <w:t xml:space="preserve"> 预拌混凝土绿色生产及管理技术规程</w:t>
            </w:r>
          </w:p>
          <w:p>
            <w:pPr>
              <w:rPr>
                <w:rFonts w:hint="eastAsia"/>
              </w:rPr>
            </w:pPr>
            <w:r>
              <w:rPr>
                <w:rFonts w:hint="eastAsia"/>
              </w:rPr>
              <w:t xml:space="preserve"> SB/T 11213-2017</w:t>
            </w:r>
            <w:r>
              <w:rPr>
                <w:rFonts w:hint="eastAsia"/>
              </w:rPr>
              <w:tab/>
            </w:r>
            <w:r>
              <w:rPr>
                <w:rFonts w:hint="eastAsia"/>
              </w:rPr>
              <w:t xml:space="preserve"> 预拌混凝土物流管理规范</w:t>
            </w:r>
            <w:r>
              <w:rPr>
                <w:rFonts w:hint="eastAsia"/>
              </w:rPr>
              <w:tab/>
            </w:r>
            <w:r>
              <w:rPr>
                <w:rFonts w:hint="eastAsia"/>
              </w:rPr>
              <w:t xml:space="preserve"> T/CECS 10047-2019</w:t>
            </w:r>
            <w:r>
              <w:rPr>
                <w:rFonts w:hint="eastAsia"/>
              </w:rPr>
              <w:tab/>
            </w:r>
            <w:r>
              <w:rPr>
                <w:rFonts w:hint="eastAsia"/>
              </w:rPr>
              <w:t xml:space="preserve"> 绿色建材评价 预拌混凝土</w:t>
            </w:r>
            <w:r>
              <w:rPr>
                <w:rFonts w:hint="eastAsia"/>
              </w:rPr>
              <w:tab/>
            </w:r>
          </w:p>
          <w:p>
            <w:pPr>
              <w:pStyle w:val="4"/>
              <w:keepNext w:val="0"/>
              <w:keepLines w:val="0"/>
              <w:widowControl/>
              <w:suppressLineNumbers w:val="0"/>
              <w:shd w:val="clear" w:color="auto" w:fill="FFFFFF"/>
              <w:ind w:left="0" w:firstLine="0"/>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rFonts w:hint="eastAsia"/>
          <w:b/>
          <w:color w:val="000000" w:themeColor="text1"/>
          <w:szCs w:val="21"/>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4</w:t>
      </w:r>
      <w:r>
        <w:rPr>
          <w:rFonts w:hint="eastAsia"/>
          <w:b/>
          <w:color w:val="000000" w:themeColor="text1"/>
          <w:spacing w:val="-10"/>
          <w:szCs w:val="21"/>
        </w:rPr>
        <w:t>月</w:t>
      </w:r>
      <w:bookmarkStart w:id="7"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9</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eastAsia" w:ascii="宋体" w:hAnsi="宋体"/>
          <w:b/>
          <w:color w:val="000000" w:themeColor="text1"/>
          <w:szCs w:val="21"/>
          <w:lang w:eastAsia="zh-CN"/>
        </w:rPr>
      </w:pPr>
      <w:r>
        <w:rPr>
          <w:rFonts w:hint="eastAsia"/>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pStyle w:val="2"/>
              <w:rPr>
                <w:rFonts w:hint="eastAsia" w:ascii="宋体" w:hAnsi="宋体" w:eastAsia="宋体" w:cs="宋体"/>
                <w:bCs/>
                <w:color w:val="auto"/>
                <w:spacing w:val="10"/>
                <w:kern w:val="0"/>
                <w:sz w:val="21"/>
                <w:szCs w:val="21"/>
                <w:lang w:val="en-US" w:eastAsia="zh-CN" w:bidi="ar-SA"/>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pStyle w:val="2"/>
              <w:rPr>
                <w:rFonts w:hint="default" w:ascii="宋体" w:hAnsi="宋体" w:eastAsia="宋体" w:cs="宋体"/>
                <w:bCs/>
                <w:color w:val="auto"/>
                <w:spacing w:val="10"/>
                <w:kern w:val="0"/>
                <w:sz w:val="21"/>
                <w:szCs w:val="21"/>
                <w:lang w:val="en-US" w:eastAsia="zh-CN" w:bidi="ar-SA"/>
              </w:rPr>
            </w:pPr>
            <w:r>
              <w:rPr>
                <w:rFonts w:hint="eastAsia" w:ascii="宋体" w:hAnsi="宋体" w:eastAsia="宋体" w:cs="宋体"/>
                <w:bCs/>
                <w:color w:val="auto"/>
                <w:spacing w:val="10"/>
                <w:kern w:val="0"/>
                <w:sz w:val="21"/>
                <w:szCs w:val="21"/>
                <w:lang w:val="en-US" w:eastAsia="zh-CN" w:bidi="ar-SA"/>
              </w:rPr>
              <w:t>认证范围：</w:t>
            </w:r>
          </w:p>
          <w:p>
            <w:pPr>
              <w:rPr>
                <w:sz w:val="20"/>
              </w:rPr>
            </w:pPr>
            <w:r>
              <w:rPr>
                <w:sz w:val="20"/>
              </w:rPr>
              <w:t>预拌混凝土的生产和销售</w:t>
            </w:r>
          </w:p>
          <w:p>
            <w:pPr>
              <w:rPr>
                <w:rFonts w:hint="default"/>
                <w:lang w:val="en-US" w:eastAsia="zh-CN"/>
              </w:rPr>
            </w:pPr>
            <w:r>
              <w:rPr>
                <w:rFonts w:hint="eastAsia" w:ascii="宋体" w:hAnsi="宋体" w:eastAsia="宋体" w:cs="宋体"/>
                <w:color w:val="auto"/>
                <w:kern w:val="0"/>
                <w:sz w:val="21"/>
                <w:szCs w:val="21"/>
                <w:lang w:val="en-US" w:eastAsia="zh-CN"/>
              </w:rPr>
              <w:t>经确认，认证范围在营业执照</w:t>
            </w:r>
            <w:r>
              <w:rPr>
                <w:rFonts w:hint="eastAsia" w:ascii="宋体" w:hAnsi="宋体" w:eastAsia="宋体" w:cs="宋体"/>
                <w:color w:val="auto"/>
                <w:kern w:val="0"/>
                <w:sz w:val="21"/>
                <w:szCs w:val="21"/>
                <w:lang w:val="zh-CN" w:eastAsia="zh-CN"/>
              </w:rPr>
              <w:t>经营范围</w:t>
            </w:r>
            <w:r>
              <w:rPr>
                <w:rFonts w:hint="eastAsia" w:ascii="宋体" w:hAnsi="宋体" w:eastAsia="宋体" w:cs="宋体"/>
                <w:color w:val="auto"/>
                <w:kern w:val="0"/>
                <w:sz w:val="21"/>
                <w:szCs w:val="21"/>
                <w:lang w:val="en-US" w:eastAsia="zh-CN"/>
              </w:rPr>
              <w:t>内。</w:t>
            </w:r>
            <w:r>
              <w:rPr>
                <w:rFonts w:hint="eastAsia" w:ascii="宋体" w:hAnsi="宋体" w:cs="宋体"/>
                <w:color w:val="auto"/>
                <w:kern w:val="0"/>
                <w:sz w:val="21"/>
                <w:szCs w:val="21"/>
                <w:lang w:val="en-US" w:eastAsia="zh-CN"/>
              </w:rPr>
              <w:t>不适用条款 8.3，</w:t>
            </w:r>
            <w:r>
              <w:rPr>
                <w:rFonts w:hint="eastAsia" w:ascii="宋体" w:hAnsi="宋体"/>
                <w:sz w:val="21"/>
                <w:szCs w:val="21"/>
                <w:lang w:eastAsia="zh-CN"/>
              </w:rPr>
              <w:t>不适用理由：公司</w:t>
            </w:r>
            <w:r>
              <w:rPr>
                <w:rFonts w:hint="eastAsia" w:ascii="宋体" w:hAnsi="宋体"/>
                <w:szCs w:val="21"/>
              </w:rPr>
              <w:t xml:space="preserve">预拌混凝土的生产和销售 </w:t>
            </w:r>
            <w:r>
              <w:rPr>
                <w:rFonts w:hint="eastAsia" w:ascii="宋体" w:hAnsi="宋体"/>
                <w:sz w:val="21"/>
                <w:szCs w:val="21"/>
                <w:lang w:eastAsia="zh-CN"/>
              </w:rPr>
              <w:t>按国家相关标准进行生产，自体系建立以来配方未有更改过，配方成熟，工艺及设备固定。整个生产过程不涉及设计新产品的内容。</w:t>
            </w:r>
            <w:r>
              <w:rPr>
                <w:rFonts w:hint="eastAsia" w:ascii="宋体" w:hAnsi="宋体"/>
                <w:sz w:val="21"/>
                <w:szCs w:val="21"/>
                <w:lang w:val="en-US" w:eastAsia="zh-CN"/>
              </w:rPr>
              <w:t>8.3条款的不适用不影响提供满足客户对产品质量的要求及符合法律法规的要求。</w:t>
            </w:r>
            <w:r>
              <w:rPr>
                <w:rFonts w:hint="eastAsia" w:ascii="宋体" w:hAnsi="宋体"/>
                <w:sz w:val="21"/>
                <w:szCs w:val="21"/>
                <w:lang w:eastAsia="zh-CN"/>
              </w:rPr>
              <w:t xml:space="preserve">  </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2"/>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sz w:val="21"/>
                <w:szCs w:val="21"/>
              </w:rPr>
              <w:t>对于企业的外包过程也进行了充分识别，公司</w:t>
            </w:r>
            <w:r>
              <w:rPr>
                <w:rFonts w:hint="eastAsia" w:asciiTheme="minorEastAsia" w:hAnsiTheme="minorEastAsia" w:eastAsiaTheme="minorEastAsia" w:cstheme="minorEastAsia"/>
                <w:b w:val="0"/>
                <w:bCs w:val="0"/>
                <w:sz w:val="21"/>
                <w:szCs w:val="21"/>
                <w:lang w:eastAsia="zh-CN"/>
              </w:rPr>
              <w:t>无</w:t>
            </w:r>
            <w:r>
              <w:rPr>
                <w:rFonts w:hint="eastAsia" w:asciiTheme="minorEastAsia" w:hAnsiTheme="minorEastAsia" w:eastAsiaTheme="minorEastAsia" w:cstheme="minorEastAsia"/>
                <w:b w:val="0"/>
                <w:bCs w:val="0"/>
                <w:sz w:val="21"/>
                <w:szCs w:val="21"/>
              </w:rPr>
              <w:t>外包</w:t>
            </w:r>
            <w:r>
              <w:rPr>
                <w:rFonts w:hint="eastAsia" w:asciiTheme="minorEastAsia" w:hAnsiTheme="minorEastAsia" w:eastAsiaTheme="minorEastAsia" w:cstheme="minorEastAsia"/>
                <w:b w:val="0"/>
                <w:bCs w:val="0"/>
                <w:sz w:val="21"/>
                <w:szCs w:val="21"/>
                <w:lang w:eastAsia="zh-CN"/>
              </w:rPr>
              <w:t>过程</w:t>
            </w:r>
          </w:p>
          <w:p>
            <w:pPr>
              <w:ind w:firstLine="420" w:firstLineChars="200"/>
              <w:jc w:val="both"/>
              <w:rPr>
                <w:rFonts w:hint="default"/>
                <w:lang w:val="en-US" w:eastAsia="zh-CN"/>
              </w:rPr>
            </w:pPr>
            <w:r>
              <w:rPr>
                <w:rFonts w:hint="eastAsia" w:asciiTheme="minorEastAsia" w:hAnsiTheme="minorEastAsia" w:eastAsiaTheme="minorEastAsia" w:cstheme="minorEastAsia"/>
                <w:b w:val="0"/>
                <w:bCs w:val="0"/>
                <w:sz w:val="21"/>
                <w:szCs w:val="21"/>
              </w:rPr>
              <w:t>投诉或事故</w:t>
            </w:r>
            <w:r>
              <w:rPr>
                <w:rFonts w:hint="eastAsia" w:asciiTheme="minorEastAsia" w:hAnsiTheme="minorEastAsia" w:eastAsiaTheme="minorEastAsia" w:cstheme="minorEastAsia"/>
                <w:b w:val="0"/>
                <w:bCs w:val="0"/>
                <w:sz w:val="21"/>
                <w:szCs w:val="21"/>
                <w:lang w:val="en-US" w:eastAsia="zh-CN"/>
              </w:rPr>
              <w:t xml:space="preserve">:无      </w:t>
            </w:r>
            <w:r>
              <w:rPr>
                <w:rFonts w:hint="eastAsia" w:asciiTheme="minorEastAsia" w:hAnsiTheme="minorEastAsia" w:eastAsiaTheme="minorEastAsia" w:cstheme="minorEastAsia"/>
                <w:b w:val="0"/>
                <w:bCs w:val="0"/>
                <w:sz w:val="21"/>
                <w:szCs w:val="21"/>
              </w:rPr>
              <w:t>政府主管部门监督抽查情况</w:t>
            </w:r>
            <w:r>
              <w:rPr>
                <w:rFonts w:hint="eastAsia" w:asciiTheme="minorEastAsia" w:hAnsiTheme="minorEastAsia" w:eastAsiaTheme="minorEastAsia" w:cstheme="minorEastAsia"/>
                <w:b w:val="0"/>
                <w:bCs w:val="0"/>
                <w:sz w:val="21"/>
                <w:szCs w:val="21"/>
                <w:lang w:val="en-US" w:eastAsia="zh-CN"/>
              </w:rPr>
              <w:t>:无</w:t>
            </w:r>
          </w:p>
          <w:p>
            <w:pPr>
              <w:spacing w:line="240" w:lineRule="exact"/>
              <w:rPr>
                <w:b/>
                <w:color w:val="000000" w:themeColor="text1"/>
                <w:sz w:val="20"/>
                <w:szCs w:val="20"/>
              </w:rPr>
            </w:pPr>
            <w:r>
              <w:rPr>
                <w:rFonts w:hint="eastAsia" w:asciiTheme="minorEastAsia" w:hAnsiTheme="minorEastAsia" w:eastAsiaTheme="minorEastAsia" w:cstheme="minorEastAsia"/>
                <w:b w:val="0"/>
                <w:bCs w:val="0"/>
                <w:color w:val="auto"/>
                <w:sz w:val="21"/>
                <w:szCs w:val="21"/>
                <w:lang w:eastAsia="zh-CN"/>
              </w:rPr>
              <w:t>查企业基本信息没变化，</w:t>
            </w:r>
            <w:r>
              <w:rPr>
                <w:rFonts w:hint="eastAsia" w:asciiTheme="minorEastAsia" w:hAnsiTheme="minorEastAsia" w:eastAsiaTheme="minorEastAsia" w:cstheme="minorEastAsia"/>
                <w:b w:val="0"/>
                <w:bCs w:val="0"/>
                <w:color w:val="auto"/>
                <w:sz w:val="21"/>
                <w:szCs w:val="21"/>
                <w:lang w:val="en-US" w:eastAsia="zh-CN"/>
              </w:rPr>
              <w:t>审核范围无变化。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rPr>
                <w:rFonts w:hint="eastAsia"/>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rPr>
              <w:t>规范管理，追求品质卓越，持续改进，保证客户满意</w:t>
            </w:r>
          </w:p>
          <w:p>
            <w:pPr>
              <w:spacing w:line="360" w:lineRule="auto"/>
              <w:ind w:firstLine="422" w:firstLineChars="200"/>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rPr>
                <w:rFonts w:hint="eastAsia" w:ascii="宋体" w:hAnsi="宋体"/>
                <w:sz w:val="21"/>
                <w:szCs w:val="21"/>
                <w:lang w:eastAsia="zh-CN"/>
              </w:rPr>
            </w:pPr>
            <w:r>
              <w:rPr>
                <w:rFonts w:hint="eastAsia" w:ascii="宋体" w:hAnsi="宋体"/>
                <w:sz w:val="21"/>
                <w:szCs w:val="21"/>
                <w:lang w:eastAsia="zh-CN"/>
              </w:rPr>
              <w:t>质量管理体系过程有：</w:t>
            </w:r>
          </w:p>
          <w:p>
            <w:pP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生产流程：</w:t>
            </w:r>
            <w:r>
              <w:rPr>
                <w:rFonts w:hint="eastAsia" w:ascii="宋体" w:hAnsi="宋体"/>
                <w:szCs w:val="21"/>
              </w:rPr>
              <w:t>配料—</w:t>
            </w:r>
            <w:r>
              <w:rPr>
                <w:rFonts w:hint="eastAsia" w:ascii="宋体" w:hAnsi="宋体"/>
                <w:szCs w:val="21"/>
                <w:lang w:eastAsia="zh-CN"/>
              </w:rPr>
              <w:t>混合搅拌</w:t>
            </w:r>
            <w:r>
              <w:rPr>
                <w:rFonts w:hint="eastAsia" w:ascii="宋体" w:hAnsi="宋体"/>
                <w:szCs w:val="21"/>
              </w:rPr>
              <w:t>——抽样检验</w:t>
            </w:r>
            <w:r>
              <w:rPr>
                <w:rFonts w:hint="eastAsia" w:ascii="宋体" w:hAnsi="宋体"/>
                <w:szCs w:val="21"/>
                <w:lang w:eastAsia="zh-CN"/>
              </w:rPr>
              <w:t>（产品部分性能检测）</w:t>
            </w:r>
            <w:r>
              <w:rPr>
                <w:rFonts w:hint="eastAsia" w:ascii="宋体" w:hAnsi="宋体"/>
                <w:szCs w:val="21"/>
              </w:rPr>
              <w:t>—成品入库</w:t>
            </w:r>
          </w:p>
          <w:p>
            <w:pPr>
              <w:rPr>
                <w:rFonts w:hint="eastAsia" w:ascii="宋体" w:hAnsi="宋体"/>
                <w:sz w:val="21"/>
                <w:szCs w:val="21"/>
                <w:lang w:eastAsia="zh-CN"/>
              </w:rPr>
            </w:pPr>
            <w:r>
              <w:rPr>
                <w:rFonts w:hint="eastAsia" w:asciiTheme="minorEastAsia" w:hAnsiTheme="minorEastAsia" w:cstheme="minorEastAsia"/>
                <w:szCs w:val="21"/>
                <w:lang w:val="en-US" w:eastAsia="zh-CN"/>
              </w:rPr>
              <w:t>销售流程：</w:t>
            </w:r>
            <w:r>
              <w:rPr>
                <w:rFonts w:hint="eastAsia" w:asciiTheme="minorEastAsia" w:hAnsiTheme="minorEastAsia" w:eastAsiaTheme="minorEastAsia" w:cstheme="minorEastAsia"/>
                <w:szCs w:val="21"/>
              </w:rPr>
              <w:t>确定顾客要求--商务谈判--签订合同--采购产品--产品交付--售后服务</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配料为关键过程。</w:t>
            </w:r>
          </w:p>
          <w:p>
            <w:pPr>
              <w:widowControl/>
              <w:spacing w:line="400" w:lineRule="exact"/>
              <w:rPr>
                <w:rFonts w:hint="default" w:ascii="宋体" w:hAnsi="宋体"/>
                <w:sz w:val="21"/>
                <w:szCs w:val="21"/>
                <w:lang w:val="en-US" w:eastAsia="zh-CN"/>
              </w:rPr>
            </w:pPr>
            <w:r>
              <w:rPr>
                <w:rFonts w:hint="eastAsia" w:ascii="宋体" w:hAnsi="宋体"/>
                <w:sz w:val="21"/>
                <w:szCs w:val="21"/>
                <w:lang w:val="en-US" w:eastAsia="zh-CN"/>
              </w:rPr>
              <w:t>需确认/特殊过程：配料过程、销售过程</w:t>
            </w:r>
          </w:p>
          <w:p>
            <w:pPr>
              <w:widowControl/>
              <w:spacing w:line="400" w:lineRule="exact"/>
              <w:rPr>
                <w:rFonts w:hint="eastAsia" w:ascii="宋体" w:hAnsi="宋体"/>
                <w:sz w:val="21"/>
                <w:szCs w:val="21"/>
                <w:lang w:val="en-US" w:eastAsia="zh-CN"/>
              </w:rPr>
            </w:pPr>
            <w:r>
              <w:rPr>
                <w:rFonts w:hint="eastAsia" w:ascii="宋体" w:hAnsi="宋体"/>
                <w:sz w:val="21"/>
                <w:szCs w:val="21"/>
                <w:lang w:val="en-US" w:eastAsia="zh-CN"/>
              </w:rPr>
              <w:t>外包过程：无</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tabs>
                <w:tab w:val="left" w:pos="540"/>
              </w:tabs>
              <w:spacing w:line="300" w:lineRule="exact"/>
              <w:ind w:left="211" w:hanging="211" w:hangingChars="100"/>
              <w:rPr>
                <w:rFonts w:ascii="宋体" w:hAnsi="宋体"/>
                <w:b/>
                <w:color w:val="000000" w:themeColor="text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80</w:t>
            </w:r>
            <w:r>
              <w:rPr>
                <w:rFonts w:hint="eastAsia" w:ascii="宋体" w:hAnsi="宋体"/>
                <w:b/>
                <w:color w:val="000000" w:themeColor="text1"/>
                <w:szCs w:val="21"/>
              </w:rPr>
              <w:t>项，</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sym w:font="Wingdings" w:char="00A8"/>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20"/>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20"/>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5"/>
              <w:numPr>
                <w:ilvl w:val="0"/>
                <w:numId w:val="0"/>
              </w:numPr>
              <w:tabs>
                <w:tab w:val="left" w:pos="1260"/>
              </w:tabs>
              <w:rPr>
                <w:rFonts w:ascii="宋体" w:hAnsi="宋体"/>
                <w:b/>
                <w:color w:val="000000" w:themeColor="text1"/>
              </w:rPr>
            </w:pPr>
            <w:r>
              <w:rPr>
                <w:rFonts w:hint="eastAsia" w:ascii="宋体" w:hAnsi="宋体"/>
                <w:szCs w:val="21"/>
              </w:rPr>
              <w:t>客户满意度 ≥ 96分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04</w:t>
            </w:r>
            <w:r>
              <w:rPr>
                <w:rFonts w:hint="eastAsia" w:ascii="宋体" w:hAnsi="宋体" w:cs="宋体"/>
                <w:color w:val="000000" w:themeColor="text1"/>
              </w:rPr>
              <w:t>月</w:t>
            </w:r>
            <w:r>
              <w:rPr>
                <w:rFonts w:hint="eastAsia" w:ascii="宋体" w:hAnsi="宋体" w:cs="宋体"/>
                <w:color w:val="000000" w:themeColor="text1"/>
                <w:lang w:val="en-US" w:eastAsia="zh-CN"/>
              </w:rPr>
              <w:t>8</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pStyle w:val="2"/>
              <w:rPr>
                <w:rFonts w:ascii="宋体" w:hAnsi="宋体"/>
                <w:b/>
                <w:color w:val="000000" w:themeColor="text1"/>
                <w:sz w:val="20"/>
                <w:szCs w:val="20"/>
              </w:rPr>
            </w:pPr>
            <w:r>
              <w:rPr>
                <w:rFonts w:hint="eastAsia"/>
                <w:sz w:val="21"/>
                <w:szCs w:val="21"/>
                <w:lang w:val="en-US" w:eastAsia="zh-CN"/>
              </w:rPr>
              <w:t>组织为配有的加工厂房及办公场地.主要生产设备包括：</w:t>
            </w:r>
            <w:r>
              <w:rPr>
                <w:rFonts w:hint="eastAsia" w:cs="Times New Roman"/>
                <w:b/>
                <w:bCs/>
                <w:color w:val="000000" w:themeColor="text1"/>
                <w:spacing w:val="10"/>
                <w:kern w:val="2"/>
                <w:sz w:val="21"/>
                <w:szCs w:val="22"/>
                <w:lang w:val="en-US" w:eastAsia="zh-CN" w:bidi="ar-SA"/>
              </w:rPr>
              <w:t>混凝土搅拌站、混凝土生产线、装载车</w:t>
            </w:r>
            <w:r>
              <w:rPr>
                <w:rFonts w:hint="eastAsia" w:ascii="宋体" w:hAnsi="宋体"/>
                <w:color w:val="000000" w:themeColor="text1"/>
                <w:spacing w:val="-10"/>
                <w:sz w:val="20"/>
                <w:szCs w:val="20"/>
                <w:lang w:val="en-US" w:eastAsia="zh-CN"/>
              </w:rPr>
              <w:t>等</w:t>
            </w:r>
            <w:r>
              <w:rPr>
                <w:rFonts w:hint="eastAsia"/>
                <w:sz w:val="21"/>
                <w:szCs w:val="21"/>
                <w:lang w:val="en-US" w:eastAsia="zh-CN"/>
              </w:rPr>
              <w:t>，可以满足产品加工需要。对设备按月方式进行点检维护保养，并实施。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rPr>
                <w:rFonts w:hint="default" w:ascii="宋体" w:hAnsi="宋体"/>
                <w:b/>
                <w:color w:val="000000" w:themeColor="text1"/>
                <w:sz w:val="20"/>
                <w:szCs w:val="20"/>
                <w:lang w:val="en-US"/>
              </w:rPr>
            </w:pPr>
            <w:r>
              <w:rPr>
                <w:rFonts w:hint="eastAsia"/>
                <w:sz w:val="21"/>
                <w:szCs w:val="21"/>
                <w:lang w:eastAsia="zh-CN"/>
              </w:rPr>
              <w:t>公司的监视和测量设施设备主要是</w:t>
            </w:r>
            <w:r>
              <w:rPr>
                <w:rFonts w:hint="eastAsia"/>
              </w:rPr>
              <w:t>地磅、压力试验机、箱式电阻温度控制仪、数显压力试验机、电动抗折试验机、干湿计、水泥胶砂流动度测定仪、砂浆稠度仪</w:t>
            </w:r>
            <w:r>
              <w:rPr>
                <w:rFonts w:hint="eastAsia"/>
                <w:lang w:val="en-US" w:eastAsia="zh-CN"/>
              </w:rPr>
              <w:t>等</w:t>
            </w:r>
            <w:r>
              <w:rPr>
                <w:rFonts w:hint="eastAsia"/>
                <w:sz w:val="21"/>
                <w:szCs w:val="21"/>
                <w:lang w:eastAsia="zh-CN"/>
              </w:rPr>
              <w:t>，能保证产品的生产检测要求。</w:t>
            </w:r>
            <w:r>
              <w:rPr>
                <w:rFonts w:hint="eastAsia"/>
                <w:sz w:val="21"/>
                <w:szCs w:val="21"/>
                <w:lang w:val="en-US" w:eastAsia="zh-CN"/>
              </w:rPr>
              <w:t>提供有检测报告，见附件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配料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配料过程、销售过程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val="en-US"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400" w:lineRule="exact"/>
              <w:rPr>
                <w:rFonts w:hint="eastAsia" w:eastAsia="宋体"/>
                <w:color w:val="auto"/>
                <w:sz w:val="21"/>
                <w:szCs w:val="21"/>
                <w:lang w:val="en-US" w:eastAsia="zh-CN"/>
              </w:rPr>
            </w:pPr>
            <w:r>
              <w:rPr>
                <w:rFonts w:hint="eastAsia"/>
                <w:color w:val="auto"/>
                <w:sz w:val="21"/>
                <w:szCs w:val="21"/>
              </w:rPr>
              <w:t>特种设备：</w:t>
            </w:r>
            <w:r>
              <w:rPr>
                <w:rFonts w:hint="eastAsia"/>
                <w:color w:val="auto"/>
                <w:sz w:val="21"/>
                <w:szCs w:val="21"/>
                <w:lang w:val="en-US" w:eastAsia="zh-CN"/>
              </w:rPr>
              <w:t>无</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1</w:t>
            </w:r>
            <w:r>
              <w:rPr>
                <w:rFonts w:hint="eastAsia" w:ascii="宋体" w:hAnsi="宋体" w:cs="宋体"/>
                <w:color w:val="000000"/>
                <w:szCs w:val="21"/>
              </w:rPr>
              <w:t>-</w:t>
            </w:r>
            <w:r>
              <w:rPr>
                <w:rFonts w:hint="eastAsia" w:ascii="宋体" w:hAnsi="宋体" w:cs="宋体"/>
                <w:color w:val="000000"/>
                <w:szCs w:val="21"/>
                <w:lang w:val="en-US" w:eastAsia="zh-CN"/>
              </w:rPr>
              <w:t>2020年06</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3</w:t>
            </w:r>
            <w:r>
              <w:rPr>
                <w:rFonts w:hint="eastAsia" w:ascii="宋体" w:hAnsi="宋体" w:cs="宋体"/>
                <w:color w:val="000000"/>
                <w:szCs w:val="21"/>
              </w:rPr>
              <w:t>月实施，满意度评价9</w:t>
            </w:r>
            <w:r>
              <w:rPr>
                <w:rFonts w:hint="eastAsia" w:ascii="宋体" w:hAnsi="宋体" w:cs="宋体"/>
                <w:color w:val="000000"/>
                <w:szCs w:val="21"/>
                <w:lang w:val="en-US" w:eastAsia="zh-CN"/>
              </w:rPr>
              <w:t>9分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w:t>
            </w:r>
            <w:r>
              <w:rPr>
                <w:rFonts w:hint="eastAsia" w:ascii="宋体" w:hAnsi="宋体" w:cs="宋体"/>
                <w:color w:val="auto"/>
                <w:szCs w:val="21"/>
              </w:rPr>
              <w:t>内部审核控制程序》，规定了内审频次一年一次，内审时间</w:t>
            </w:r>
            <w:r>
              <w:rPr>
                <w:rFonts w:hint="eastAsia" w:ascii="宋体" w:hAnsi="宋体" w:cs="宋体"/>
                <w:color w:val="auto"/>
                <w:szCs w:val="21"/>
                <w:lang w:eastAsia="zh-CN"/>
              </w:rPr>
              <w:t>：</w:t>
            </w:r>
            <w:r>
              <w:rPr>
                <w:rFonts w:hint="eastAsia"/>
                <w:color w:val="auto"/>
                <w:sz w:val="21"/>
                <w:szCs w:val="21"/>
                <w:lang w:eastAsia="zh-CN"/>
              </w:rPr>
              <w:t>2020年</w:t>
            </w:r>
            <w:r>
              <w:rPr>
                <w:rFonts w:hint="eastAsia"/>
                <w:color w:val="auto"/>
                <w:sz w:val="21"/>
                <w:szCs w:val="21"/>
                <w:lang w:val="en-US" w:eastAsia="zh-CN"/>
              </w:rPr>
              <w:t>07</w:t>
            </w:r>
            <w:r>
              <w:rPr>
                <w:rFonts w:hint="eastAsia"/>
                <w:color w:val="auto"/>
                <w:sz w:val="21"/>
                <w:szCs w:val="21"/>
                <w:lang w:eastAsia="zh-CN"/>
              </w:rPr>
              <w:t>月</w:t>
            </w:r>
            <w:r>
              <w:rPr>
                <w:rFonts w:hint="eastAsia"/>
                <w:color w:val="auto"/>
                <w:sz w:val="21"/>
                <w:szCs w:val="21"/>
                <w:lang w:val="en-US" w:eastAsia="zh-CN"/>
              </w:rPr>
              <w:t>9</w:t>
            </w:r>
            <w:r>
              <w:rPr>
                <w:rFonts w:hint="eastAsia"/>
                <w:color w:val="auto"/>
                <w:sz w:val="21"/>
                <w:szCs w:val="21"/>
                <w:lang w:eastAsia="zh-CN"/>
              </w:rPr>
              <w:t>日</w:t>
            </w:r>
            <w:r>
              <w:rPr>
                <w:rFonts w:hint="eastAsia" w:ascii="宋体" w:hAnsi="宋体" w:cs="宋体"/>
                <w:color w:val="auto"/>
                <w:szCs w:val="21"/>
              </w:rPr>
              <w:t>，拟定了审核实施表，明确了内审范围，内审人员经培训合格上岗，能力满足要求，未出现审核本部门情况，内审不符合项</w:t>
            </w:r>
            <w:r>
              <w:rPr>
                <w:rFonts w:hint="eastAsia" w:ascii="宋体" w:hAnsi="宋体" w:cs="宋体"/>
                <w:color w:val="auto"/>
                <w:szCs w:val="21"/>
                <w:lang w:val="en-US" w:eastAsia="zh-CN"/>
              </w:rPr>
              <w:t>1</w:t>
            </w:r>
            <w:r>
              <w:rPr>
                <w:rFonts w:hint="eastAsia" w:ascii="宋体" w:hAnsi="宋体" w:cs="宋体"/>
                <w:color w:val="auto"/>
                <w:szCs w:val="21"/>
              </w:rPr>
              <w:t>项，</w:t>
            </w:r>
            <w:r>
              <w:rPr>
                <w:rFonts w:hint="eastAsia" w:ascii="宋体" w:hAnsi="宋体" w:cs="宋体"/>
                <w:color w:val="auto"/>
                <w:szCs w:val="21"/>
                <w:lang w:val="en-US" w:eastAsia="zh-CN"/>
              </w:rPr>
              <w:t>经过整改，</w:t>
            </w:r>
            <w:r>
              <w:rPr>
                <w:rFonts w:hint="eastAsia" w:ascii="宋体" w:hAnsi="宋体" w:cs="宋体"/>
                <w:color w:val="auto"/>
                <w:szCs w:val="21"/>
              </w:rPr>
              <w:t>已及</w:t>
            </w:r>
            <w:r>
              <w:rPr>
                <w:rFonts w:hint="eastAsia"/>
                <w:color w:val="auto"/>
                <w:szCs w:val="21"/>
              </w:rPr>
              <w:t>时采取纠正措施后，经内审员验证关闭。</w:t>
            </w:r>
            <w:r>
              <w:rPr>
                <w:rFonts w:hint="eastAsia" w:ascii="宋体" w:hAnsi="宋体" w:cs="宋体"/>
                <w:color w:val="auto"/>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sz w:val="21"/>
                <w:szCs w:val="21"/>
              </w:rPr>
              <w:t>20</w:t>
            </w:r>
            <w:r>
              <w:rPr>
                <w:rFonts w:hint="eastAsia" w:cs="Times New Roman"/>
                <w:sz w:val="21"/>
                <w:szCs w:val="21"/>
                <w:lang w:val="en-US" w:eastAsia="zh-CN"/>
              </w:rPr>
              <w:t>20</w:t>
            </w:r>
            <w:r>
              <w:rPr>
                <w:rFonts w:hint="eastAsia" w:ascii="Times New Roman" w:hAnsi="Times New Roman" w:cs="Times New Roman"/>
                <w:sz w:val="21"/>
                <w:szCs w:val="21"/>
              </w:rPr>
              <w:t>年</w:t>
            </w:r>
            <w:r>
              <w:rPr>
                <w:rFonts w:hint="eastAsia" w:cs="Times New Roman"/>
                <w:sz w:val="21"/>
                <w:szCs w:val="21"/>
                <w:lang w:val="en-US" w:eastAsia="zh-CN"/>
              </w:rPr>
              <w:t>7</w:t>
            </w:r>
            <w:r>
              <w:rPr>
                <w:rFonts w:hint="eastAsia" w:ascii="Times New Roman" w:hAnsi="Times New Roman" w:cs="Times New Roman"/>
                <w:sz w:val="21"/>
                <w:szCs w:val="21"/>
              </w:rPr>
              <w:t>月</w:t>
            </w:r>
            <w:r>
              <w:rPr>
                <w:rFonts w:hint="eastAsia" w:cs="Times New Roman"/>
                <w:sz w:val="21"/>
                <w:szCs w:val="21"/>
                <w:lang w:val="en-US" w:eastAsia="zh-CN"/>
              </w:rPr>
              <w:t>21</w:t>
            </w:r>
            <w:r>
              <w:rPr>
                <w:rFonts w:hint="eastAsia" w:ascii="Times New Roman" w:hAnsi="Times New Roman" w:cs="Times New Roman"/>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w:t>
      </w:r>
      <w:r>
        <w:rPr>
          <w:rFonts w:hint="eastAsia"/>
          <w:b/>
          <w:color w:val="000000" w:themeColor="text1"/>
          <w:lang w:val="en-US" w:eastAsia="zh-CN"/>
        </w:rPr>
        <w:t>0</w:t>
      </w:r>
      <w:r>
        <w:rPr>
          <w:rFonts w:hint="eastAsia"/>
          <w:b/>
          <w:color w:val="000000" w:themeColor="text1"/>
        </w:rPr>
        <w:t>不符合项报告</w:t>
      </w:r>
      <w:r>
        <w:rPr>
          <w:rFonts w:hint="eastAsia"/>
          <w:b/>
          <w:color w:val="000000" w:themeColor="text1"/>
          <w:lang w:val="en-US" w:eastAsia="zh-CN"/>
        </w:rPr>
        <w:t>0</w:t>
      </w:r>
      <w:r>
        <w:rPr>
          <w:rFonts w:hint="eastAsia"/>
          <w:b/>
          <w:color w:val="000000" w:themeColor="text1"/>
        </w:rPr>
        <w:t xml:space="preserve"> 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0</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w:t>
      </w:r>
      <w:r>
        <w:rPr>
          <w:rFonts w:hint="eastAsia"/>
          <w:b/>
          <w:color w:val="000000" w:themeColor="text1"/>
          <w:lang w:val="en-US" w:eastAsia="zh-CN"/>
        </w:rPr>
        <w:t>）</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rFonts w:hint="eastAsia"/>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p>
      <w:pPr>
        <w:tabs>
          <w:tab w:val="left" w:pos="215"/>
          <w:tab w:val="left" w:pos="430"/>
        </w:tabs>
        <w:spacing w:line="360" w:lineRule="auto"/>
        <w:ind w:left="-190" w:leftChars="-472" w:hanging="801" w:hangingChars="380"/>
        <w:rPr>
          <w:rFonts w:ascii="宋体" w:hAnsi="宋体"/>
          <w:b/>
          <w:color w:val="000000" w:themeColor="text1"/>
          <w:szCs w:val="21"/>
        </w:rPr>
      </w:pPr>
      <w:r>
        <w:rPr>
          <w:rFonts w:hint="eastAsia" w:ascii="宋体" w:hAnsi="宋体"/>
          <w:b/>
          <w:color w:val="000000" w:themeColor="text1"/>
          <w:szCs w:val="21"/>
          <w:lang w:val="en-US" w:eastAsia="zh-CN"/>
        </w:rPr>
        <w:t>核实审核实际情况</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firstLine="442" w:firstLineChars="200"/>
              <w:rPr>
                <w:b/>
                <w:color w:val="000000" w:themeColor="text1"/>
                <w:sz w:val="22"/>
                <w:szCs w:val="22"/>
              </w:rPr>
            </w:pPr>
            <w:r>
              <w:rPr>
                <w:rFonts w:hint="eastAsia"/>
                <w:b/>
                <w:color w:val="000000" w:themeColor="text1"/>
                <w:sz w:val="22"/>
                <w:szCs w:val="22"/>
              </w:rPr>
              <w:t>组织实施“过程控制”，满足标准要求和目标，向顾客提供稳定、合格产品，满足适用的环境/职业健康安全法规要求，</w:t>
            </w:r>
            <w:r>
              <w:rPr>
                <w:rFonts w:hint="eastAsia"/>
                <w:b/>
                <w:color w:val="000000" w:themeColor="text1"/>
                <w:sz w:val="22"/>
                <w:szCs w:val="22"/>
                <w:lang w:val="en-US" w:eastAsia="zh-CN"/>
              </w:rPr>
              <w:t>能够</w:t>
            </w:r>
            <w:r>
              <w:rPr>
                <w:rFonts w:hint="eastAsia"/>
                <w:b/>
                <w:color w:val="000000" w:themeColor="text1"/>
                <w:sz w:val="22"/>
                <w:szCs w:val="22"/>
              </w:rPr>
              <w:t>防止污染、重大事故</w:t>
            </w:r>
            <w:r>
              <w:rPr>
                <w:rFonts w:hint="eastAsia"/>
                <w:b/>
                <w:color w:val="000000" w:themeColor="text1"/>
                <w:sz w:val="22"/>
                <w:szCs w:val="22"/>
                <w:lang w:eastAsia="zh-CN"/>
              </w:rPr>
              <w:t>，</w:t>
            </w:r>
            <w:r>
              <w:rPr>
                <w:rFonts w:hint="eastAsia"/>
                <w:b/>
                <w:color w:val="000000" w:themeColor="text1"/>
                <w:sz w:val="22"/>
                <w:szCs w:val="22"/>
              </w:rPr>
              <w:t>对周边环境产生的影响</w:t>
            </w:r>
            <w:r>
              <w:rPr>
                <w:rFonts w:hint="eastAsia"/>
                <w:b/>
                <w:color w:val="000000" w:themeColor="text1"/>
                <w:sz w:val="22"/>
                <w:szCs w:val="22"/>
                <w:lang w:val="en-US" w:eastAsia="zh-CN"/>
              </w:rPr>
              <w:t>进行了控制</w:t>
            </w:r>
            <w:r>
              <w:rPr>
                <w:rFonts w:hint="eastAsia"/>
                <w:b/>
                <w:color w:val="000000" w:themeColor="text1"/>
                <w:sz w:val="22"/>
                <w:szCs w:val="22"/>
              </w:rPr>
              <w:t>，措施有效</w:t>
            </w:r>
            <w:r>
              <w:rPr>
                <w:rFonts w:hint="eastAsia"/>
                <w:b/>
                <w:color w:val="000000" w:themeColor="text1"/>
                <w:sz w:val="22"/>
                <w:szCs w:val="22"/>
                <w:lang w:eastAsia="zh-CN"/>
              </w:rPr>
              <w:t>。</w:t>
            </w:r>
          </w:p>
          <w:p>
            <w:pPr>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sz w:val="21"/>
                <w:szCs w:val="21"/>
              </w:rPr>
              <w:t>海南筑通混凝土有限公司</w:t>
            </w:r>
            <w:r>
              <w:rPr>
                <w:rFonts w:hint="eastAsia"/>
                <w:color w:val="000000"/>
                <w:szCs w:val="21"/>
                <w:u w:val="single"/>
                <w:lang w:val="en-US" w:eastAsia="zh-CN"/>
              </w:rPr>
              <w:t xml:space="preserve"> </w:t>
            </w:r>
            <w:r>
              <w:rPr>
                <w:rFonts w:hint="eastAsia"/>
                <w:color w:val="auto"/>
                <w:kern w:val="2"/>
                <w:sz w:val="21"/>
                <w:szCs w:val="21"/>
                <w:lang w:val="en-GB"/>
              </w:rPr>
              <w:t>的</w:t>
            </w:r>
          </w:p>
          <w:p>
            <w:pPr>
              <w:pStyle w:val="21"/>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21"/>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80" w:lineRule="exact"/>
              <w:ind w:left="221" w:hanging="221" w:hangingChars="100"/>
              <w:rPr>
                <w:b/>
                <w:color w:val="000000" w:themeColor="text1"/>
                <w:sz w:val="22"/>
                <w:szCs w:val="22"/>
              </w:rPr>
            </w:pPr>
          </w:p>
          <w:p>
            <w:pPr>
              <w:spacing w:line="240" w:lineRule="exact"/>
              <w:ind w:firstLine="382" w:firstLineChars="200"/>
              <w:rPr>
                <w:rFonts w:hint="eastAsia"/>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ind w:firstLine="420" w:firstLineChars="200"/>
              <w:rPr>
                <w:rFonts w:hint="eastAsia"/>
              </w:rPr>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Pr>
                <w:rFonts w:hint="eastAsia"/>
                <w:lang w:val="en-US" w:eastAsia="zh-CN"/>
              </w:rPr>
              <w:t>本次远程审核基本达到审核要求，</w:t>
            </w:r>
            <w:r>
              <w:rPr>
                <w:rFonts w:hint="eastAsia"/>
              </w:rPr>
              <w:t>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rPr>
                <w:rFonts w:hint="eastAsia" w:eastAsia="宋体"/>
                <w:b/>
                <w:color w:val="000000" w:themeColor="text1"/>
                <w:lang w:eastAsia="zh-CN"/>
              </w:rPr>
            </w:pPr>
            <w:r>
              <w:rPr>
                <w:rFonts w:hint="eastAsia"/>
                <w:b/>
                <w:color w:val="000000" w:themeColor="text1"/>
                <w:spacing w:val="-10"/>
                <w:szCs w:val="21"/>
                <w:lang w:eastAsia="zh-CN"/>
              </w:rPr>
              <w:t>□</w:t>
            </w:r>
            <w:r>
              <w:rPr>
                <w:rFonts w:hint="eastAsia"/>
                <w:b/>
                <w:color w:val="000000" w:themeColor="text1"/>
              </w:rPr>
              <w:t>审核范围变更，</w:t>
            </w:r>
            <w:r>
              <w:rPr>
                <w:rFonts w:hint="eastAsia"/>
                <w:b/>
                <w:color w:val="000000" w:themeColor="text1"/>
                <w:lang w:eastAsia="zh-CN"/>
              </w:rPr>
              <w:t>（详见认证信息变更传递单）</w:t>
            </w:r>
          </w:p>
          <w:p>
            <w:pPr>
              <w:spacing w:line="0" w:lineRule="atLeast"/>
              <w:jc w:val="left"/>
              <w:rPr>
                <w:b/>
                <w:color w:val="000000" w:themeColor="text1"/>
              </w:rPr>
            </w:pPr>
            <w:r>
              <w:rPr>
                <w:rFonts w:ascii="宋体" w:hAnsi="宋体"/>
                <w:b/>
                <w:color w:val="000000" w:themeColor="text1"/>
              </w:rPr>
              <w:t>QMS:</w:t>
            </w:r>
            <w:r>
              <w:rPr>
                <w:rFonts w:hint="eastAsia" w:ascii="宋体" w:hAnsi="宋体"/>
                <w:b/>
                <w:color w:val="000000" w:themeColor="text1"/>
              </w:rPr>
              <w:t xml:space="preserve"> </w:t>
            </w:r>
            <w:r>
              <w:rPr>
                <w:sz w:val="20"/>
              </w:rPr>
              <w:t>预拌混凝土的生产和销售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9"/>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eastAsia="zh-CN"/>
        </w:rPr>
        <w:t>无</w:t>
      </w:r>
    </w:p>
    <w:p>
      <w:pPr>
        <w:spacing w:before="156" w:beforeLines="50" w:after="156" w:afterLines="50"/>
        <w:ind w:left="-1535"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069975" cy="284480"/>
            <wp:effectExtent l="0" t="0" r="9525"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069975" cy="28448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9</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 xml:space="preserve"> 15</w:t>
      </w:r>
      <w:bookmarkStart w:id="9" w:name="_GoBack"/>
      <w:bookmarkEnd w:id="9"/>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bCs/>
          <w:color w:val="000000" w:themeColor="text1"/>
          <w:szCs w:val="21"/>
        </w:rPr>
        <w:t>QMS( )个一般不符合，( 0 )个严重不符合，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396240"/>
            <wp:effectExtent l="0" t="0" r="952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904875" cy="39624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 </w:t>
      </w:r>
      <w:r>
        <w:rPr>
          <w:rFonts w:hint="eastAsia"/>
          <w:b/>
          <w:color w:val="000000" w:themeColor="text1"/>
          <w:szCs w:val="21"/>
          <w:lang w:val="en-US" w:eastAsia="zh-CN"/>
        </w:rPr>
        <w:t>9</w:t>
      </w:r>
      <w:r>
        <w:rPr>
          <w:rFonts w:hint="eastAsia"/>
          <w:b/>
          <w:color w:val="000000" w:themeColor="text1"/>
          <w:szCs w:val="21"/>
        </w:rPr>
        <w:t>月</w:t>
      </w:r>
      <w:r>
        <w:rPr>
          <w:rFonts w:hint="eastAsia"/>
          <w:b/>
          <w:color w:val="000000" w:themeColor="text1"/>
          <w:szCs w:val="21"/>
          <w:lang w:val="en-US" w:eastAsia="zh-CN"/>
        </w:rPr>
        <w:t>15</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pPr>
    <w:bookmarkStart w:id="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8"/>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824840"/>
    <w:rsid w:val="07A84CB2"/>
    <w:rsid w:val="089E2646"/>
    <w:rsid w:val="0AE52265"/>
    <w:rsid w:val="0CC7527B"/>
    <w:rsid w:val="0E897B29"/>
    <w:rsid w:val="0EB36807"/>
    <w:rsid w:val="0FB74A65"/>
    <w:rsid w:val="10E854AA"/>
    <w:rsid w:val="1198680D"/>
    <w:rsid w:val="126F7B51"/>
    <w:rsid w:val="14D43C90"/>
    <w:rsid w:val="14DB0987"/>
    <w:rsid w:val="18C26746"/>
    <w:rsid w:val="1974056C"/>
    <w:rsid w:val="1ABB01D3"/>
    <w:rsid w:val="1ACD62B8"/>
    <w:rsid w:val="1B4F1B57"/>
    <w:rsid w:val="1BF66B95"/>
    <w:rsid w:val="1C440198"/>
    <w:rsid w:val="1C5F0C83"/>
    <w:rsid w:val="1DCB178B"/>
    <w:rsid w:val="1E40289E"/>
    <w:rsid w:val="1F520E03"/>
    <w:rsid w:val="21143095"/>
    <w:rsid w:val="21611269"/>
    <w:rsid w:val="218A16F9"/>
    <w:rsid w:val="23782E05"/>
    <w:rsid w:val="24307C63"/>
    <w:rsid w:val="25CD1223"/>
    <w:rsid w:val="27D94066"/>
    <w:rsid w:val="2D661B74"/>
    <w:rsid w:val="2F1239C1"/>
    <w:rsid w:val="32081D79"/>
    <w:rsid w:val="32C1463B"/>
    <w:rsid w:val="34265884"/>
    <w:rsid w:val="36EC7F03"/>
    <w:rsid w:val="3B860344"/>
    <w:rsid w:val="3C191EA6"/>
    <w:rsid w:val="3C6210A8"/>
    <w:rsid w:val="3CD41D33"/>
    <w:rsid w:val="3D1277C5"/>
    <w:rsid w:val="3EB10809"/>
    <w:rsid w:val="401450D1"/>
    <w:rsid w:val="416863AC"/>
    <w:rsid w:val="4292115D"/>
    <w:rsid w:val="432329ED"/>
    <w:rsid w:val="43380ADB"/>
    <w:rsid w:val="455B7DE8"/>
    <w:rsid w:val="46736188"/>
    <w:rsid w:val="469452FC"/>
    <w:rsid w:val="48212822"/>
    <w:rsid w:val="4916731F"/>
    <w:rsid w:val="49C82B1C"/>
    <w:rsid w:val="49D96455"/>
    <w:rsid w:val="49FA7342"/>
    <w:rsid w:val="4B173D3E"/>
    <w:rsid w:val="4B4A3A22"/>
    <w:rsid w:val="50EE18EE"/>
    <w:rsid w:val="52DE1104"/>
    <w:rsid w:val="5C0F099A"/>
    <w:rsid w:val="5CDD1C2D"/>
    <w:rsid w:val="5EC62EB7"/>
    <w:rsid w:val="5FD65205"/>
    <w:rsid w:val="61A2120B"/>
    <w:rsid w:val="63360944"/>
    <w:rsid w:val="63E122A7"/>
    <w:rsid w:val="653F2CB5"/>
    <w:rsid w:val="673B259B"/>
    <w:rsid w:val="67614AEF"/>
    <w:rsid w:val="67C53D83"/>
    <w:rsid w:val="694049C3"/>
    <w:rsid w:val="69DE7923"/>
    <w:rsid w:val="6A1418BC"/>
    <w:rsid w:val="6BCE5F42"/>
    <w:rsid w:val="6D1A2693"/>
    <w:rsid w:val="6F5B59DC"/>
    <w:rsid w:val="6FF56C95"/>
    <w:rsid w:val="712A343D"/>
    <w:rsid w:val="73226B9D"/>
    <w:rsid w:val="76883B29"/>
    <w:rsid w:val="780960F1"/>
    <w:rsid w:val="780F0F53"/>
    <w:rsid w:val="797616D8"/>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bCs/>
      <w:kern w:val="0"/>
      <w:sz w:val="28"/>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Plain Text"/>
    <w:basedOn w:val="1"/>
    <w:qFormat/>
    <w:uiPriority w:val="0"/>
    <w:pPr>
      <w:jc w:val="both"/>
    </w:pPr>
    <w:rPr>
      <w:rFonts w:ascii="宋体" w:hAnsi="Courier New" w:eastAsia="宋体"/>
      <w:szCs w:val="24"/>
    </w:rPr>
  </w:style>
  <w:style w:type="paragraph" w:styleId="6">
    <w:name w:val="Balloon Text"/>
    <w:basedOn w:val="1"/>
    <w:link w:val="17"/>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批注框文本 Char"/>
    <w:basedOn w:val="12"/>
    <w:link w:val="6"/>
    <w:semiHidden/>
    <w:qFormat/>
    <w:uiPriority w:val="99"/>
    <w:rPr>
      <w:rFonts w:ascii="Times New Roman" w:hAnsi="Times New Roman" w:eastAsia="宋体" w:cs="Times New Roman"/>
      <w:sz w:val="18"/>
      <w:szCs w:val="18"/>
    </w:rPr>
  </w:style>
  <w:style w:type="character" w:customStyle="1" w:styleId="18">
    <w:name w:val="页眉 Char1"/>
    <w:basedOn w:val="12"/>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列出段落1"/>
    <w:basedOn w:val="1"/>
    <w:qFormat/>
    <w:uiPriority w:val="34"/>
    <w:pPr>
      <w:ind w:firstLine="420" w:firstLineChars="200"/>
    </w:pPr>
  </w:style>
  <w:style w:type="paragraph" w:customStyle="1" w:styleId="2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1369</Words>
  <Characters>7805</Characters>
  <Lines>1</Lines>
  <Paragraphs>1</Paragraphs>
  <TotalTime>6</TotalTime>
  <ScaleCrop>false</ScaleCrop>
  <LinksUpToDate>false</LinksUpToDate>
  <CharactersWithSpaces>9156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dcterms:modified xsi:type="dcterms:W3CDTF">2020-09-15T01:15:50Z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