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rFonts w:hint="eastAsia" w:ascii="楷体" w:hAnsi="楷体" w:eastAsia="楷体"/>
          <w:color w:val="000000"/>
          <w:sz w:val="28"/>
          <w:szCs w:val="28"/>
        </w:rPr>
        <w:t>0488-2020-EO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河北途祥电力科技有限公司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eastAsia="宋体"/>
                <w:b w:val="0"/>
                <w:bCs/>
                <w:color w:val="000000"/>
                <w:sz w:val="20"/>
                <w:szCs w:val="20"/>
                <w:lang w:val="en-US" w:eastAsia="zh-CN"/>
              </w:rPr>
            </w:pPr>
            <w:r>
              <w:rPr>
                <w:rFonts w:hint="eastAsia"/>
                <w:b w:val="0"/>
                <w:bCs/>
                <w:color w:val="000000"/>
                <w:sz w:val="20"/>
                <w:szCs w:val="20"/>
                <w:lang w:val="en-US" w:eastAsia="zh-CN"/>
              </w:rPr>
              <w:t>周涛</w:t>
            </w:r>
          </w:p>
        </w:tc>
        <w:tc>
          <w:tcPr>
            <w:tcW w:w="992" w:type="dxa"/>
            <w:vAlign w:val="center"/>
          </w:tcPr>
          <w:p>
            <w:pPr>
              <w:spacing w:line="240" w:lineRule="exact"/>
              <w:jc w:val="center"/>
              <w:rPr>
                <w:rFonts w:hint="default"/>
                <w:b w:val="0"/>
                <w:bCs/>
                <w:color w:val="000000"/>
                <w:sz w:val="20"/>
                <w:szCs w:val="20"/>
                <w:lang w:val="en-US" w:eastAsia="zh-CN"/>
              </w:rPr>
            </w:pPr>
            <w:r>
              <w:rPr>
                <w:rFonts w:hint="eastAsia"/>
                <w:b w:val="0"/>
                <w:bCs/>
                <w:color w:val="000000"/>
                <w:sz w:val="20"/>
                <w:szCs w:val="20"/>
                <w:lang w:val="en-US" w:eastAsia="zh-CN"/>
              </w:rPr>
              <w:t>组员</w:t>
            </w:r>
          </w:p>
        </w:tc>
        <w:tc>
          <w:tcPr>
            <w:tcW w:w="1077" w:type="dxa"/>
            <w:vAlign w:val="center"/>
          </w:tcPr>
          <w:p>
            <w:pPr>
              <w:spacing w:line="240" w:lineRule="exact"/>
              <w:jc w:val="center"/>
              <w:rPr>
                <w:rFonts w:hint="default"/>
                <w:b w:val="0"/>
                <w:bCs/>
                <w:color w:val="000000"/>
                <w:sz w:val="20"/>
                <w:szCs w:val="20"/>
                <w:lang w:val="en-US" w:eastAsia="zh-CN"/>
              </w:rPr>
            </w:pPr>
            <w:r>
              <w:rPr>
                <w:rFonts w:hint="eastAsia"/>
                <w:b w:val="0"/>
                <w:bCs/>
                <w:color w:val="000000"/>
                <w:sz w:val="20"/>
                <w:szCs w:val="20"/>
                <w:lang w:val="en-US" w:eastAsia="zh-CN"/>
              </w:rPr>
              <w:t>男</w:t>
            </w:r>
          </w:p>
        </w:tc>
        <w:tc>
          <w:tcPr>
            <w:tcW w:w="3375" w:type="dxa"/>
            <w:gridSpan w:val="3"/>
            <w:vAlign w:val="center"/>
          </w:tcPr>
          <w:p>
            <w:pPr>
              <w:spacing w:line="240" w:lineRule="exact"/>
              <w:jc w:val="center"/>
              <w:rPr>
                <w:rFonts w:hint="eastAsia"/>
                <w:b w:val="0"/>
                <w:bCs/>
                <w:color w:val="000000"/>
                <w:sz w:val="20"/>
                <w:szCs w:val="20"/>
              </w:rPr>
            </w:pPr>
            <w:r>
              <w:rPr>
                <w:rFonts w:hint="eastAsia"/>
                <w:b w:val="0"/>
                <w:bCs/>
                <w:color w:val="000000"/>
                <w:sz w:val="20"/>
                <w:szCs w:val="20"/>
              </w:rPr>
              <w:t>2018-N1EMS-2072033</w:t>
            </w:r>
          </w:p>
          <w:p>
            <w:pPr>
              <w:spacing w:line="240" w:lineRule="exact"/>
              <w:jc w:val="center"/>
              <w:rPr>
                <w:b w:val="0"/>
                <w:bCs/>
                <w:color w:val="000000"/>
                <w:sz w:val="20"/>
                <w:szCs w:val="20"/>
              </w:rPr>
            </w:pPr>
            <w:r>
              <w:rPr>
                <w:rFonts w:hint="eastAsia"/>
                <w:b w:val="0"/>
                <w:bCs/>
                <w:color w:val="000000"/>
                <w:sz w:val="20"/>
                <w:szCs w:val="20"/>
              </w:rPr>
              <w:t>2018-N1OHSMS-2072033</w:t>
            </w:r>
          </w:p>
        </w:tc>
        <w:tc>
          <w:tcPr>
            <w:tcW w:w="2575" w:type="dxa"/>
            <w:gridSpan w:val="2"/>
            <w:vAlign w:val="center"/>
          </w:tcPr>
          <w:p>
            <w:pPr>
              <w:spacing w:line="240" w:lineRule="exact"/>
              <w:jc w:val="center"/>
              <w:rPr>
                <w:rFonts w:hint="eastAsia" w:eastAsia="宋体"/>
                <w:b w:val="0"/>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569"/>
        <w:gridCol w:w="809"/>
        <w:gridCol w:w="38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328"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河北途祥电力科技有限公司</w:t>
            </w:r>
          </w:p>
        </w:tc>
        <w:tc>
          <w:tcPr>
            <w:tcW w:w="2047"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328"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任丘市麻家坞镇陈庄村村南</w:t>
            </w:r>
          </w:p>
        </w:tc>
        <w:tc>
          <w:tcPr>
            <w:tcW w:w="809"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sz w:val="20"/>
                <w:szCs w:val="20"/>
              </w:rPr>
              <w:t>邮编</w:t>
            </w:r>
          </w:p>
        </w:tc>
        <w:tc>
          <w:tcPr>
            <w:tcW w:w="224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328"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任丘市麻家坞镇陈庄村村南</w:t>
            </w:r>
          </w:p>
        </w:tc>
        <w:tc>
          <w:tcPr>
            <w:tcW w:w="809"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24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Cs w:val="21"/>
                <w:lang w:val="en-US" w:eastAsia="zh-CN"/>
              </w:rPr>
              <w:t>马严敏</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szCs w:val="21"/>
                <w:lang w:val="en-US" w:eastAsia="zh-CN"/>
              </w:rPr>
              <w:t>18903273456</w:t>
            </w:r>
          </w:p>
        </w:tc>
        <w:tc>
          <w:tcPr>
            <w:tcW w:w="8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24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Cs w:val="21"/>
                <w:lang w:val="en-US" w:eastAsia="zh-CN"/>
              </w:rPr>
              <w:t>耿照华</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Cs w:val="21"/>
                <w:lang w:val="en-US" w:eastAsia="zh-CN"/>
              </w:rPr>
              <w:t>马严敏</w:t>
            </w:r>
          </w:p>
        </w:tc>
        <w:tc>
          <w:tcPr>
            <w:tcW w:w="809"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24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szCs w:val="21"/>
              </w:rPr>
              <w:t>13292768003@139.com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384"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Cs w:val="21"/>
              </w:rPr>
            </w:pPr>
            <w:bookmarkStart w:id="1" w:name="审核范围"/>
            <w:r>
              <w:rPr>
                <w:rFonts w:hint="eastAsia" w:ascii="宋体" w:hAnsi="宋体"/>
                <w:szCs w:val="21"/>
              </w:rPr>
              <w:t>E：电力管材（PE管材、PVC管材、MPP管材）、塑料通讯管材、钢绞线、线路铁件（电力铁附件）、井盖及附件、警示牌、宽带网络箱、光纤分纤箱、光缆终端盒、光缆接头盒、走线架的销售相关的环境管理活动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hint="eastAsia" w:ascii="宋体" w:hAnsi="宋体"/>
                <w:szCs w:val="21"/>
              </w:rPr>
              <w:t>O：电力管材（PE管材、PVC管材、MPP管材）、塑料通讯管材、钢绞线、线路铁件（电力铁附件）、井盖及附件、警示牌、宽带网络箱、光纤分纤箱、光缆终端盒、光缆接头盒、走线架的销售相关的职业健康安全管理活动</w:t>
            </w:r>
            <w:bookmarkEnd w:id="1"/>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4</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业务部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8"/>
        <w:gridCol w:w="1391"/>
        <w:gridCol w:w="76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8" w:type="dxa"/>
          </w:tcPr>
          <w:p>
            <w:pPr>
              <w:rPr>
                <w:b/>
                <w:color w:val="000000" w:themeColor="text1"/>
                <w:sz w:val="20"/>
                <w:szCs w:val="20"/>
              </w:rPr>
            </w:pPr>
            <w:r>
              <w:rPr>
                <w:rFonts w:hint="eastAsia"/>
                <w:b/>
                <w:color w:val="000000" w:themeColor="text1"/>
                <w:sz w:val="20"/>
                <w:szCs w:val="20"/>
              </w:rPr>
              <w:t>产品名称/服务名称</w:t>
            </w:r>
          </w:p>
        </w:tc>
        <w:tc>
          <w:tcPr>
            <w:tcW w:w="1391" w:type="dxa"/>
          </w:tcPr>
          <w:p>
            <w:pPr>
              <w:rPr>
                <w:b/>
                <w:color w:val="000000" w:themeColor="text1"/>
                <w:sz w:val="20"/>
                <w:szCs w:val="20"/>
              </w:rPr>
            </w:pPr>
            <w:r>
              <w:rPr>
                <w:rFonts w:hint="eastAsia"/>
                <w:b/>
                <w:color w:val="000000" w:themeColor="text1"/>
                <w:sz w:val="20"/>
                <w:szCs w:val="20"/>
              </w:rPr>
              <w:t>型号/类型</w:t>
            </w:r>
          </w:p>
        </w:tc>
        <w:tc>
          <w:tcPr>
            <w:tcW w:w="764" w:type="dxa"/>
          </w:tcPr>
          <w:p>
            <w:pPr>
              <w:rPr>
                <w:b/>
                <w:color w:val="000000" w:themeColor="text1"/>
                <w:sz w:val="20"/>
                <w:szCs w:val="20"/>
              </w:rPr>
            </w:pPr>
            <w:r>
              <w:rPr>
                <w:rFonts w:hint="eastAsia"/>
                <w:b/>
                <w:color w:val="000000" w:themeColor="text1"/>
                <w:sz w:val="20"/>
                <w:szCs w:val="20"/>
              </w:rPr>
              <w:t>规格</w:t>
            </w:r>
          </w:p>
        </w:tc>
        <w:tc>
          <w:tcPr>
            <w:tcW w:w="121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8" w:type="dxa"/>
          </w:tcPr>
          <w:p>
            <w:pPr>
              <w:rPr>
                <w:rFonts w:hint="default" w:eastAsia="宋体"/>
                <w:b/>
                <w:color w:val="000000" w:themeColor="text1"/>
                <w:sz w:val="20"/>
                <w:szCs w:val="20"/>
                <w:lang w:val="en-US" w:eastAsia="zh-CN"/>
              </w:rPr>
            </w:pPr>
            <w:r>
              <w:rPr>
                <w:rFonts w:hint="eastAsia" w:ascii="宋体" w:hAnsi="宋体"/>
                <w:szCs w:val="21"/>
              </w:rPr>
              <w:t>电力管材（PE管材、PVC管材、MPP管材）、塑料通讯管材、钢绞线、线路铁件（电力铁附件）、井盖及附件、警示牌、宽带网络箱、光纤分纤箱、光缆终端盒、光缆接头盒、走线架</w:t>
            </w:r>
            <w:r>
              <w:rPr>
                <w:rFonts w:hint="default" w:ascii="宋体" w:hAnsi="宋体"/>
                <w:szCs w:val="21"/>
              </w:rPr>
              <w:t>的销售</w:t>
            </w:r>
          </w:p>
        </w:tc>
        <w:tc>
          <w:tcPr>
            <w:tcW w:w="1391" w:type="dxa"/>
          </w:tcPr>
          <w:p>
            <w:pPr>
              <w:rPr>
                <w:rFonts w:hint="default" w:eastAsia="宋体"/>
                <w:b/>
                <w:color w:val="000000" w:themeColor="text1"/>
                <w:sz w:val="20"/>
                <w:szCs w:val="20"/>
                <w:lang w:val="en-US" w:eastAsia="zh-CN"/>
              </w:rPr>
            </w:pPr>
            <w:r>
              <w:rPr>
                <w:rFonts w:hint="eastAsia"/>
                <w:sz w:val="20"/>
                <w:lang w:val="en-US" w:eastAsia="zh-CN"/>
              </w:rPr>
              <w:t>/</w:t>
            </w:r>
          </w:p>
        </w:tc>
        <w:tc>
          <w:tcPr>
            <w:tcW w:w="76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w:t>
            </w:r>
            <w:r>
              <w:rPr>
                <w:rFonts w:hint="eastAsia"/>
                <w:lang w:eastAsia="zh-CN"/>
              </w:rPr>
              <w:t>，</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安全为天、守法诚信、保护环境、持续发展</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业务部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办公室/业务部根据部门所涉及的环境因素进行识别，并评价出重要环境因素，提供环境因素评价记录，目前环境因素识别基本完整，评价的重要环境因素为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办公室/业务部根据部门所涉及的危险源进行识别，并评价出重大危险源，提供重大危险源评价记录，目前危险源识别基本完整，评价的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cs="宋体"/>
              </w:rPr>
              <w:t>公司环境</w:t>
            </w:r>
            <w:r>
              <w:rPr>
                <w:rFonts w:hint="eastAsia" w:cs="宋体"/>
                <w:lang w:val="en-US" w:eastAsia="zh-CN"/>
              </w:rPr>
              <w:t>职业健康安全</w:t>
            </w:r>
            <w:r>
              <w:rPr>
                <w:rFonts w:hint="eastAsia" w:cs="宋体"/>
              </w:rPr>
              <w:t>目标：</w:t>
            </w:r>
          </w:p>
          <w:p>
            <w:pPr>
              <w:rPr>
                <w:rFonts w:hint="eastAsia" w:cs="宋体"/>
              </w:rPr>
            </w:pPr>
            <w:r>
              <w:rPr>
                <w:rFonts w:hint="eastAsia" w:cs="宋体"/>
              </w:rPr>
              <w:t>火灾、触电事故为0</w:t>
            </w:r>
          </w:p>
          <w:p>
            <w:pPr>
              <w:rPr>
                <w:rFonts w:hint="eastAsia" w:cs="宋体"/>
              </w:rPr>
            </w:pPr>
            <w:r>
              <w:rPr>
                <w:rFonts w:hint="eastAsia" w:cs="宋体"/>
              </w:rPr>
              <w:t>产生的固体废物100%分类、收集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重大交通责任事故发生率为0。</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2020年2季度目标考核记录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20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安全为天、守法诚信、保护环境、持续发展</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r>
              <w:rPr>
                <w:rFonts w:hint="eastAsia"/>
                <w:sz w:val="21"/>
                <w:szCs w:val="21"/>
              </w:rPr>
              <w:t>未能提供将公司</w:t>
            </w:r>
            <w:r>
              <w:rPr>
                <w:rFonts w:hint="eastAsia"/>
                <w:sz w:val="21"/>
                <w:szCs w:val="21"/>
                <w:lang w:val="en-US" w:eastAsia="zh-CN"/>
              </w:rPr>
              <w:t>环境</w:t>
            </w:r>
            <w:r>
              <w:rPr>
                <w:rFonts w:hint="eastAsia"/>
                <w:sz w:val="21"/>
                <w:szCs w:val="21"/>
              </w:rPr>
              <w:t>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20年8月15-16日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8</w:t>
            </w:r>
            <w:r>
              <w:rPr>
                <w:rFonts w:hint="eastAsia" w:cs="宋体"/>
              </w:rPr>
              <w:t>月</w:t>
            </w:r>
            <w:r>
              <w:rPr>
                <w:rFonts w:hint="eastAsia"/>
                <w:lang w:val="en-US" w:eastAsia="zh-CN"/>
              </w:rPr>
              <w:t>29</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 xml:space="preserve"> 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业务部E8.1、O8.1.4条款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河北途祥电力科技有限公司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rFonts w:hint="eastAsia"/>
                <w:color w:val="000000"/>
                <w:szCs w:val="21"/>
              </w:rPr>
            </w:pPr>
            <w:r>
              <w:rPr>
                <w:rFonts w:hint="eastAsia" w:ascii="宋体" w:hAnsi="宋体"/>
                <w:szCs w:val="21"/>
              </w:rPr>
              <w:t>E：电力管材（PE管材、PVC管材、MPP管材）、塑料通讯管材、钢绞线、线路铁件（电力铁附件）、井盖及附件、警示牌、宽带网络箱、光纤分纤箱、光缆终端盒、光缆接头盒、走线架的销售相关的环境管理活动</w:t>
            </w:r>
          </w:p>
          <w:p>
            <w:pPr>
              <w:rPr>
                <w:rFonts w:hint="eastAsia" w:ascii="宋体" w:hAnsi="宋体"/>
                <w:szCs w:val="21"/>
              </w:rPr>
            </w:pPr>
            <w:r>
              <w:rPr>
                <w:rFonts w:hint="eastAsia" w:ascii="宋体" w:hAnsi="宋体"/>
                <w:szCs w:val="21"/>
              </w:rPr>
              <w:t>O：电力管材（PE管材、PVC管材、MPP管材）、塑料通讯管材、钢绞线、线路铁件（电力铁附件）、井盖及附件、警示牌、宽带网络箱、光纤分纤箱、光缆终端盒、光缆接头盒、走线架的销售相关的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8"/>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bookmarkStart w:id="4" w:name="_GoBack"/>
      <w:bookmarkEnd w:id="4"/>
      <w:r>
        <w:drawing>
          <wp:anchor distT="0" distB="0" distL="114300" distR="114300" simplePos="0" relativeHeight="251666432" behindDoc="0" locked="0" layoutInCell="1" allowOverlap="1">
            <wp:simplePos x="0" y="0"/>
            <wp:positionH relativeFrom="column">
              <wp:posOffset>1617980</wp:posOffset>
            </wp:positionH>
            <wp:positionV relativeFrom="paragraph">
              <wp:posOffset>191770</wp:posOffset>
            </wp:positionV>
            <wp:extent cx="893445" cy="567055"/>
            <wp:effectExtent l="0" t="0" r="8255" b="444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893445" cy="56705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364440EF"/>
    <w:multiLevelType w:val="singleLevel"/>
    <w:tmpl w:val="364440EF"/>
    <w:lvl w:ilvl="0" w:tentative="0">
      <w:start w:val="11"/>
      <w:numFmt w:val="chineseCounting"/>
      <w:suff w:val="nothing"/>
      <w:lvlText w:val="%1、"/>
      <w:lvlJc w:val="left"/>
      <w:rPr>
        <w:rFonts w:hint="eastAsia"/>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1"/>
  </w:num>
  <w:num w:numId="3">
    <w:abstractNumId w:val="5"/>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8D77FE3"/>
    <w:rsid w:val="1C440198"/>
    <w:rsid w:val="21611269"/>
    <w:rsid w:val="229447B7"/>
    <w:rsid w:val="22DF6A1C"/>
    <w:rsid w:val="262038F9"/>
    <w:rsid w:val="29A9333B"/>
    <w:rsid w:val="29E70823"/>
    <w:rsid w:val="36CF437D"/>
    <w:rsid w:val="372F4304"/>
    <w:rsid w:val="3AFE3AFE"/>
    <w:rsid w:val="3C6210A8"/>
    <w:rsid w:val="3F9B4A9B"/>
    <w:rsid w:val="4B4A3A22"/>
    <w:rsid w:val="57A97EAC"/>
    <w:rsid w:val="5CDD1C2D"/>
    <w:rsid w:val="63AC66A7"/>
    <w:rsid w:val="64C33949"/>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2020-09-09T09:25:40Z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