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08"/>
        <w:gridCol w:w="25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HB23001缓速器定子硬度检测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1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181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81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布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</w:rPr>
              <w:t>氏硬度计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～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</w:rPr>
              <w:t>650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)H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</w:rPr>
              <w:t>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1.5%,即3HBW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eastAsia="黑体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HQJZ-ZL</w:t>
            </w:r>
            <w:r>
              <w:rPr>
                <w:rFonts w:hint="eastAsia" w:ascii="黑体" w:eastAsia="黑体"/>
                <w:snapToGrid w:val="0"/>
                <w:color w:val="000000" w:themeColor="text1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HB23001缓速器定子硬度检测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控制规范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GB/T231.1-2018《金属材料布氏硬度试验 第1部分试验方法》及HQ-JZ-001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《作业指导书》及《质量控制文件》。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赵芳芳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Cs w:val="21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HB23001缓速器定子硬度检测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宋体"/>
                <w:szCs w:val="21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HB23001缓速器定子硬度检测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HB23001缓速器定子硬度检测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eastAsia="zh-CN"/>
              </w:rPr>
              <w:t>HB23001缓速器定子硬度检测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HB23001缓速器定子硬度检测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97909"/>
    <w:rsid w:val="628027E9"/>
    <w:rsid w:val="6E6F04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2020-09-26T01:37:11Z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