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23"/>
        <w:gridCol w:w="219"/>
        <w:gridCol w:w="75"/>
        <w:gridCol w:w="101"/>
        <w:gridCol w:w="589"/>
        <w:gridCol w:w="261"/>
        <w:gridCol w:w="435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汉源县鑫馨商贸有限责任公司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四川省雅安市汉源县富林镇新县城萝卜岗供销社鑫馨超市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625300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Cs w:val="21"/>
              </w:rPr>
              <w:t xml:space="preserve">初级农产品（果蔬、冷鲜肉类、禽蛋）、预包装食品、散装食品的销售（限许可范围内） </w:t>
            </w:r>
            <w:r>
              <w:rPr>
                <w:rFonts w:hint="eastAsia" w:ascii="宋体" w:hAnsi="宋体"/>
                <w:szCs w:val="21"/>
                <w:lang w:eastAsia="zh-CN"/>
              </w:rPr>
              <w:t>（不含超市零售）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29.14.01;29.14.02;29.14.07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2020年09月11日 上午至2020年09月12日 下午 (共2.0天)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8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29.14.01,29.14.02,29.14.07</w:t>
            </w:r>
          </w:p>
        </w:tc>
        <w:tc>
          <w:tcPr>
            <w:tcW w:w="168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8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2020年09月1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2020年09月1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7.4沟通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 9.3管理评审；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8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部: 5.3组织的角色、职责和权限；6.2质量目标及其实现的策划；7.1.3基础设施；7.1.4过程运行环境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7.1.5监视和测量资源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8.1运行策划和控制 8.2产品和服务的要求；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8.3设计开发控制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8.5.1生产和服务提供的控制；8.5.2标识和可追溯性；8.5.4防护；8.5.5交付后的活动；8.5.6更改控制；8.6产品和服务放行 8.7不合格输出的控制；9.1.2顾客满意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08：00-12:00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人事部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5.3组织的角色、职责和权限；6.2质量目标及其实现的策划；7.1.2人员；7.2能力；7.3意识；7.5文件化信息；9.1.3分析和评价；9.2内部审核；10.1改进 总则；10.3持续改进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bookmarkStart w:id="16" w:name="_GoBack"/>
            <w:bookmarkEnd w:id="16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采购部：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8.5.3顾客或外部供方的财产；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3F06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2020-09-08T07:31:05Z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