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812"/>
        <w:gridCol w:w="430"/>
        <w:gridCol w:w="75"/>
        <w:gridCol w:w="690"/>
        <w:gridCol w:w="261"/>
        <w:gridCol w:w="74"/>
        <w:gridCol w:w="1675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重庆市聚泽汽车饰品有限公司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重庆市渝北区回兴街道金锦路34号1幢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罗老师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18323431993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黄伟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0315-2019-Q-2020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汽车椅套、脚垫、内饰改装件的生产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04.04.02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</w:t>
            </w:r>
            <w:r>
              <w:rPr>
                <w:rFonts w:hint="eastAsia"/>
                <w:b/>
                <w:sz w:val="20"/>
                <w:lang w:val="en-US" w:eastAsia="zh-CN"/>
              </w:rPr>
              <w:t>8.3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2020年09月04日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2020年09月04日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0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0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2018-N1QMS-2207381</w:t>
            </w: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周航宇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08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重庆延锋江森座椅有限公司</w:t>
            </w:r>
          </w:p>
        </w:tc>
        <w:tc>
          <w:tcPr>
            <w:tcW w:w="1530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04.04.02</w:t>
            </w:r>
          </w:p>
        </w:tc>
        <w:tc>
          <w:tcPr>
            <w:tcW w:w="1675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ISC-JSZJ-016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08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30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75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张心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15023289133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r>
              <w:rPr>
                <w:rFonts w:hint="eastAsia"/>
                <w:b/>
                <w:sz w:val="20"/>
              </w:rPr>
              <w:t>2020年09月0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18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  <w:tbl>
            <w:tblPr>
              <w:tblStyle w:val="5"/>
              <w:tblW w:w="10321" w:type="dxa"/>
              <w:jc w:val="center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</w:tblPr>
            <w:tblGrid>
              <w:gridCol w:w="1128"/>
              <w:gridCol w:w="1467"/>
              <w:gridCol w:w="7726"/>
            </w:tblGrid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59" w:hRule="atLeast"/>
                <w:jc w:val="center"/>
              </w:trPr>
              <w:tc>
                <w:tcPr>
                  <w:tcW w:w="2595" w:type="dxa"/>
                  <w:gridSpan w:val="2"/>
                  <w:vMerge w:val="restart"/>
                  <w:tcBorders>
                    <w:top w:val="single" w:color="auto" w:sz="6" w:space="0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>
                  <w:pPr>
                    <w:ind w:right="31" w:rightChars="13"/>
                    <w:jc w:val="right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安 排</w:t>
                  </w:r>
                </w:p>
                <w:p>
                  <w:pPr>
                    <w:ind w:firstLine="91" w:firstLineChars="38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时 间</w:t>
                  </w:r>
                </w:p>
              </w:tc>
              <w:tc>
                <w:tcPr>
                  <w:tcW w:w="7726" w:type="dxa"/>
                  <w:tcBorders>
                    <w:top w:val="single" w:color="auto" w:sz="6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审核部门/过程及涉及条款（参考）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290" w:hRule="atLeast"/>
                <w:jc w:val="center"/>
              </w:trPr>
              <w:tc>
                <w:tcPr>
                  <w:tcW w:w="2595" w:type="dxa"/>
                  <w:gridSpan w:val="2"/>
                  <w:vMerge w:val="continue"/>
                  <w:tcBorders>
                    <w:top w:val="nil"/>
                    <w:left w:val="single" w:color="auto" w:sz="6" w:space="0"/>
                    <w:bottom w:val="nil"/>
                    <w:right w:val="single" w:color="auto" w:sz="6" w:space="0"/>
                    <w:tl2br w:val="single" w:color="auto" w:sz="4" w:space="0"/>
                  </w:tcBorders>
                  <w:noWrap w:val="0"/>
                  <w:vAlign w:val="top"/>
                </w:tcPr>
                <w:p/>
              </w:tc>
              <w:tc>
                <w:tcPr>
                  <w:tcW w:w="772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05" w:hRule="atLeast"/>
                <w:jc w:val="center"/>
              </w:trPr>
              <w:tc>
                <w:tcPr>
                  <w:tcW w:w="1128" w:type="dxa"/>
                  <w:vMerge w:val="restart"/>
                  <w:tcBorders>
                    <w:top w:val="single" w:color="auto" w:sz="4" w:space="0"/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</w:t>
                  </w:r>
                  <w:r>
                    <w:rPr>
                      <w:rFonts w:hint="eastAsia" w:ascii="宋体" w:hAnsi="宋体"/>
                    </w:rPr>
                    <w:t>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</w:rPr>
                    <w:t>日</w:t>
                  </w: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：00-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sz w:val="18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首次会议：张心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、周航宇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default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8：:30-10:30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管理层:</w:t>
                  </w:r>
                </w:p>
                <w:p>
                  <w:pPr>
                    <w:pStyle w:val="9"/>
                    <w:numPr>
                      <w:numId w:val="0"/>
                    </w:numPr>
                    <w:spacing w:line="300" w:lineRule="exact"/>
                    <w:rPr>
                      <w:rFonts w:hint="eastAsia" w:ascii="宋体" w:hAnsi="宋体" w:cs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</w:t>
                  </w:r>
                  <w:bookmarkStart w:id="19" w:name="_GoBack"/>
                  <w:bookmarkEnd w:id="19"/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9.1.1监测、分析和评价总则； 9.1.3分析和评价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；9.2内部审核；9.3管理评审；10.1改进 总则；10.2不合格和纠正措施10.3持续改进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标准/规范/法规的执行情况、上次审核不符合项的验证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val="en-US" w:eastAsia="zh-CN"/>
                    </w:rPr>
                    <w:t>7.2条款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、认证证书、标志的使用情况、投诉或事故、监督抽查情况、体系变动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综合管理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5.3组织的角色、职责和权限；6.2质量目标及其实现的策划；7.2能力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（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上次审核不符合项的验证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）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；</w:t>
                  </w:r>
                  <w:r>
                    <w:rPr>
                      <w:rFonts w:ascii="宋体" w:hAnsi="宋体" w:cs="新宋体"/>
                      <w:sz w:val="21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350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：00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午餐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405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销售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部: 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5.3组织的角色、职责和权限；6.2质量目标及其实现的策划； 8.2产品和服务的要求；9.1.2顾客满意；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1772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</w:pPr>
                </w:p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eastAsia="宋体" w:cs="新宋体"/>
                      <w:sz w:val="21"/>
                      <w:szCs w:val="21"/>
                      <w:lang w:eastAsia="zh-CN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生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  <w:lang w:eastAsia="zh-CN"/>
                    </w:rPr>
                    <w:t>产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部:</w:t>
                  </w:r>
                </w:p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5.3组织的角色、职责和权限；6.2质量目标及其实现的策划7.1.5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监视和测量资源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;8.1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运行策划和控制；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8.3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设计开发控制；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8.5.1生产和服务提供的控制；8.5.2标识和可追溯性；8.5.3顾客或外部供方的财产；8.5.4防护；8.5.5交付后的活动；8.5.6更改控制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；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8.6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产品和服务放行</w:t>
                  </w: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 xml:space="preserve"> ；8.7</w:t>
                  </w:r>
                  <w:r>
                    <w:rPr>
                      <w:rFonts w:hint="eastAsia" w:ascii="宋体" w:hAnsi="宋体" w:cs="宋体"/>
                      <w:sz w:val="21"/>
                      <w:szCs w:val="21"/>
                    </w:rPr>
                    <w:t>不合格输出的控制；</w:t>
                  </w:r>
                </w:p>
              </w:tc>
            </w:tr>
            <w:tr>
              <w:tblPrEx>
                <w:tblCellMar>
                  <w:top w:w="0" w:type="dxa"/>
                  <w:left w:w="28" w:type="dxa"/>
                  <w:bottom w:w="0" w:type="dxa"/>
                  <w:right w:w="28" w:type="dxa"/>
                </w:tblCellMar>
              </w:tblPrEx>
              <w:trPr>
                <w:trHeight w:val="764" w:hRule="atLeast"/>
                <w:jc w:val="center"/>
              </w:trPr>
              <w:tc>
                <w:tcPr>
                  <w:tcW w:w="1128" w:type="dxa"/>
                  <w:vMerge w:val="continue"/>
                  <w:tcBorders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6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6" w:space="0"/>
                  </w:tcBorders>
                  <w:noWrap w:val="0"/>
                  <w:vAlign w:val="top"/>
                </w:tcPr>
                <w:p>
                  <w:pPr>
                    <w:rPr>
                      <w:rFonts w:hint="eastAsia" w:ascii="宋体" w:hAnsi="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0-1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7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：</w:t>
                  </w:r>
                  <w:r>
                    <w:rPr>
                      <w:rFonts w:hint="eastAsia" w:ascii="宋体" w:hAnsi="宋体"/>
                      <w:sz w:val="21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726" w:type="dxa"/>
                  <w:tcBorders>
                    <w:top w:val="single" w:color="auto" w:sz="4" w:space="0"/>
                    <w:left w:val="single" w:color="auto" w:sz="6" w:space="0"/>
                    <w:bottom w:val="single" w:color="auto" w:sz="4" w:space="0"/>
                    <w:right w:val="single" w:color="auto" w:sz="6" w:space="0"/>
                  </w:tcBorders>
                  <w:noWrap w:val="0"/>
                  <w:vAlign w:val="center"/>
                </w:tcPr>
                <w:p>
                  <w:pPr>
                    <w:rPr>
                      <w:rFonts w:hint="eastAsia" w:ascii="宋体" w:hAnsi="宋体" w:cs="新宋体"/>
                      <w:sz w:val="21"/>
                      <w:szCs w:val="21"/>
                    </w:rPr>
                  </w:pPr>
                  <w:r>
                    <w:rPr>
                      <w:rFonts w:hint="eastAsia" w:ascii="宋体" w:hAnsi="宋体" w:cs="新宋体"/>
                      <w:sz w:val="21"/>
                      <w:szCs w:val="21"/>
                    </w:rPr>
                    <w:t>审核组内部沟通,并与受审核方沟通；末次会议</w:t>
                  </w:r>
                </w:p>
              </w:tc>
            </w:tr>
          </w:tbl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2050"/>
        <o:r id="V:Rule2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F2C00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2020-08-31T08:13:59Z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