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0466-2020-QEO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北京昊宇宏达科技发展有限公司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themeColor="text1"/>
                <w:sz w:val="20"/>
                <w:szCs w:val="20"/>
              </w:rPr>
              <w:t>王志慧</w:t>
            </w:r>
            <w:r>
              <w:rPr>
                <w:rFonts w:hint="eastAsia"/>
                <w:b/>
                <w:color w:val="000000" w:themeColor="text1"/>
                <w:sz w:val="20"/>
                <w:szCs w:val="20"/>
                <w:lang w:eastAsia="zh-CN"/>
              </w:rPr>
              <w:t>（</w:t>
            </w:r>
            <w:r>
              <w:rPr>
                <w:rFonts w:hint="eastAsia"/>
                <w:b/>
                <w:color w:val="000000" w:themeColor="text1"/>
                <w:sz w:val="20"/>
                <w:szCs w:val="20"/>
                <w:lang w:val="en-US" w:eastAsia="zh-CN"/>
              </w:rPr>
              <w:t>见证E</w:t>
            </w:r>
            <w:r>
              <w:rPr>
                <w:rFonts w:hint="eastAsia"/>
                <w:b/>
                <w:color w:val="000000" w:themeColor="text1"/>
                <w:sz w:val="20"/>
                <w:szCs w:val="20"/>
                <w:lang w:eastAsia="zh-CN"/>
              </w:rPr>
              <w:t>）</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themeColor="text1"/>
                <w:sz w:val="20"/>
                <w:szCs w:val="20"/>
              </w:rPr>
              <w:t>李雅静</w:t>
            </w:r>
            <w:r>
              <w:rPr>
                <w:rFonts w:hint="eastAsia"/>
                <w:b/>
                <w:color w:val="000000" w:themeColor="text1"/>
                <w:sz w:val="20"/>
                <w:szCs w:val="20"/>
                <w:lang w:val="en-US" w:eastAsia="zh-CN"/>
              </w:rPr>
              <w:t>(被见证E)</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夏爱俭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北京昊宇宏达科技发展有限公司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北京市海淀区苏州街1号854号房</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100089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北京市海淀区苏州街1号854号房</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100089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王彦芬</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15710059520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010-69182112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赵中明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申国昌</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243035924@qq.com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bookmarkStart w:id="22" w:name="体系运行时间"/>
            <w:r>
              <w:rPr>
                <w:rFonts w:ascii="宋体" w:hAnsi="宋体"/>
                <w:b/>
                <w:color w:val="000000" w:themeColor="text1"/>
                <w:sz w:val="20"/>
                <w:szCs w:val="20"/>
              </w:rPr>
              <w:t xml:space="preserve">2020-03-10 </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3" w:name="审核范围"/>
            <w:r>
              <w:rPr>
                <w:rFonts w:ascii="宋体" w:hAnsi="宋体"/>
                <w:b/>
                <w:color w:val="000000"/>
                <w:sz w:val="20"/>
                <w:szCs w:val="20"/>
              </w:rPr>
              <w:t>Q：照相器材、摄像器材、电子产品、计算机及辅助设备的销售（有许可要求除外）</w:t>
            </w:r>
          </w:p>
          <w:p>
            <w:pPr>
              <w:spacing w:line="400" w:lineRule="exact"/>
              <w:rPr>
                <w:rFonts w:ascii="宋体" w:hAnsi="宋体"/>
                <w:b/>
                <w:color w:val="000000"/>
                <w:sz w:val="20"/>
                <w:szCs w:val="20"/>
              </w:rPr>
            </w:pPr>
            <w:r>
              <w:rPr>
                <w:rFonts w:ascii="宋体" w:hAnsi="宋体"/>
                <w:b/>
                <w:color w:val="000000"/>
                <w:sz w:val="20"/>
                <w:szCs w:val="20"/>
              </w:rPr>
              <w:t>E：照相器材、摄像器材、电子产品、计算机及辅助设备的销售（有许可要求除外）及相关环境管理活动</w:t>
            </w:r>
          </w:p>
          <w:p>
            <w:pPr>
              <w:spacing w:line="400" w:lineRule="exact"/>
              <w:rPr>
                <w:rFonts w:ascii="宋体" w:hAnsi="宋体"/>
                <w:b/>
                <w:color w:val="000000"/>
                <w:sz w:val="20"/>
                <w:szCs w:val="20"/>
              </w:rPr>
            </w:pPr>
            <w:r>
              <w:rPr>
                <w:rFonts w:ascii="宋体" w:hAnsi="宋体"/>
                <w:b/>
                <w:color w:val="000000"/>
                <w:sz w:val="20"/>
                <w:szCs w:val="20"/>
              </w:rPr>
              <w:t>O：照相器材、摄像器材、电子产品、计算机及辅助设备的销售（有许可要求除外）及相关职业健康安全管理活动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4"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u w:val="single"/>
          <w:lang w:eastAsia="zh-CN"/>
        </w:rPr>
        <w:t>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部门：管理层、综合部（含财务）、销售部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各部门办公室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Q：照相器材、摄像器材、电子产品、计算机及辅助设备的销售（有许可要求除外）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E：照相器材、摄像器材、电子产品、计算机及辅助设备的销售（有许可要求除外）及相关环境管理活动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O：照相器材、摄像器材、电子产品、计算机及辅助设备的销售（有许可要求除外）及相关职业健康安全管理活动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公司部门设置：管理层、综合部（含财务）、销售部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numPr>
          <w:ilvl w:val="0"/>
          <w:numId w:val="1"/>
        </w:numPr>
        <w:spacing w:before="156" w:beforeLines="50" w:line="360" w:lineRule="exact"/>
        <w:ind w:left="281" w:leftChars="125" w:hanging="18" w:hangingChars="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pStyle w:val="2"/>
        <w:numPr>
          <w:numId w:val="0"/>
        </w:num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76" w:lineRule="auto"/>
              <w:rPr>
                <w:rFonts w:ascii="宋体"/>
                <w:color w:val="000000"/>
                <w:sz w:val="20"/>
                <w:szCs w:val="20"/>
              </w:rPr>
            </w:pPr>
            <w:r>
              <w:rPr>
                <w:rFonts w:hint="eastAsia"/>
                <w:b w:val="0"/>
                <w:bCs/>
              </w:rPr>
              <w:t>客户</w:t>
            </w:r>
            <w:r>
              <w:rPr>
                <w:rFonts w:hint="eastAsia"/>
                <w:b w:val="0"/>
                <w:bCs/>
                <w:lang w:val="en-US" w:eastAsia="zh-CN"/>
              </w:rPr>
              <w:t>沟通</w:t>
            </w:r>
            <w:r>
              <w:rPr>
                <w:rFonts w:hint="eastAsia"/>
                <w:b w:val="0"/>
                <w:bCs/>
              </w:rPr>
              <w:t>----合同评审----</w:t>
            </w:r>
            <w:r>
              <w:rPr>
                <w:rFonts w:hint="eastAsia" w:asciiTheme="minorEastAsia" w:hAnsiTheme="minorEastAsia" w:eastAsiaTheme="minorEastAsia" w:cstheme="minorEastAsia"/>
                <w:color w:val="auto"/>
                <w:szCs w:val="21"/>
                <w:lang w:eastAsia="zh-CN"/>
              </w:rPr>
              <w:t>签订合同-----客户付款------入帐------采购-----客户提货-----验收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不涉及，有销售绩效考核。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auto"/>
                <w:sz w:val="20"/>
                <w:szCs w:val="20"/>
              </w:rPr>
            </w:pPr>
            <w:bookmarkStart w:id="25" w:name="_GoBack"/>
            <w:r>
              <w:rPr>
                <w:rFonts w:hint="eastAsia" w:ascii="宋体"/>
                <w:color w:val="auto"/>
                <w:sz w:val="20"/>
                <w:szCs w:val="20"/>
              </w:rPr>
              <w:t>组织员工人数：</w:t>
            </w:r>
            <w:r>
              <w:rPr>
                <w:rFonts w:hint="eastAsia" w:ascii="宋体"/>
                <w:color w:val="auto"/>
                <w:sz w:val="20"/>
                <w:szCs w:val="20"/>
                <w:lang w:val="en-US" w:eastAsia="zh-CN"/>
              </w:rPr>
              <w:t>18</w:t>
            </w:r>
            <w:r>
              <w:rPr>
                <w:rFonts w:hint="eastAsia" w:ascii="宋体"/>
                <w:color w:val="auto"/>
                <w:sz w:val="20"/>
                <w:szCs w:val="20"/>
              </w:rPr>
              <w:t>人，其中管理人员：</w:t>
            </w:r>
            <w:r>
              <w:rPr>
                <w:rFonts w:hint="eastAsia" w:ascii="宋体"/>
                <w:color w:val="auto"/>
                <w:sz w:val="20"/>
                <w:szCs w:val="20"/>
                <w:lang w:val="en-US" w:eastAsia="zh-CN"/>
              </w:rPr>
              <w:t>6</w:t>
            </w:r>
            <w:r>
              <w:rPr>
                <w:rFonts w:hint="eastAsia" w:ascii="宋体"/>
                <w:color w:val="auto"/>
                <w:sz w:val="20"/>
                <w:szCs w:val="20"/>
              </w:rPr>
              <w:t>人</w:t>
            </w:r>
          </w:p>
          <w:bookmarkEnd w:id="25"/>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ascii="宋体" w:hAnsi="宋体"/>
          <w:szCs w:val="21"/>
        </w:rPr>
        <w:drawing>
          <wp:inline distT="0" distB="0" distL="114300" distR="114300">
            <wp:extent cx="479425" cy="339090"/>
            <wp:effectExtent l="0" t="0" r="15875" b="3810"/>
            <wp:docPr id="7" name="图片 1"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ae27f13d4c00e77522a97fbea83b3a3"/>
                    <pic:cNvPicPr>
                      <a:picLocks noChangeAspect="1"/>
                    </pic:cNvPicPr>
                  </pic:nvPicPr>
                  <pic:blipFill>
                    <a:blip r:embed="rId7"/>
                    <a:stretch>
                      <a:fillRect/>
                    </a:stretch>
                  </pic:blipFill>
                  <pic:spPr>
                    <a:xfrm>
                      <a:off x="0" y="0"/>
                      <a:ext cx="479425" cy="339090"/>
                    </a:xfrm>
                    <a:prstGeom prst="rect">
                      <a:avLst/>
                    </a:prstGeom>
                    <a:noFill/>
                    <a:ln>
                      <a:noFill/>
                    </a:ln>
                  </pic:spPr>
                </pic:pic>
              </a:graphicData>
            </a:graphic>
          </wp:inline>
        </w:drawing>
      </w:r>
      <w:r>
        <w:rPr>
          <w:rFonts w:hint="eastAsia" w:ascii="宋体" w:hAnsi="宋体"/>
          <w:szCs w:val="21"/>
          <w:lang w:val="en-US" w:eastAsia="zh-CN"/>
        </w:rPr>
        <w:t xml:space="preserve">    </w:t>
      </w:r>
      <w:r>
        <w:drawing>
          <wp:inline distT="0" distB="0" distL="114300" distR="114300">
            <wp:extent cx="635635" cy="287020"/>
            <wp:effectExtent l="0" t="0" r="12065"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lum contrast="48000"/>
                    </a:blip>
                    <a:stretch>
                      <a:fillRect/>
                    </a:stretch>
                  </pic:blipFill>
                  <pic:spPr>
                    <a:xfrm>
                      <a:off x="0" y="0"/>
                      <a:ext cx="635635" cy="287020"/>
                    </a:xfrm>
                    <a:prstGeom prst="rect">
                      <a:avLst/>
                    </a:prstGeom>
                    <a:noFill/>
                    <a:ln>
                      <a:noFill/>
                    </a:ln>
                  </pic:spPr>
                </pic:pic>
              </a:graphicData>
            </a:graphic>
          </wp:inline>
        </w:drawing>
      </w:r>
      <w:r>
        <w:rPr>
          <w:rFonts w:hint="eastAsia" w:ascii="宋体" w:hAnsi="宋体"/>
          <w:szCs w:val="21"/>
        </w:rPr>
        <w:t xml:space="preserve">     </w:t>
      </w:r>
      <w:r>
        <w:drawing>
          <wp:inline distT="0" distB="0" distL="114300" distR="114300">
            <wp:extent cx="695325" cy="345440"/>
            <wp:effectExtent l="0" t="0" r="9525"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lum contrast="90000"/>
                    </a:blip>
                    <a:stretch>
                      <a:fillRect/>
                    </a:stretch>
                  </pic:blipFill>
                  <pic:spPr>
                    <a:xfrm>
                      <a:off x="0" y="0"/>
                      <a:ext cx="695325" cy="345440"/>
                    </a:xfrm>
                    <a:prstGeom prst="rect">
                      <a:avLst/>
                    </a:prstGeom>
                    <a:noFill/>
                    <a:ln>
                      <a:noFill/>
                    </a:ln>
                  </pic:spPr>
                </pic:pic>
              </a:graphicData>
            </a:graphic>
          </wp:inline>
        </w:drawing>
      </w:r>
      <w:r>
        <w:rPr>
          <w:rFonts w:hint="eastAsia" w:ascii="宋体" w:hAnsi="宋体"/>
          <w:szCs w:val="21"/>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2F2F6"/>
    <w:multiLevelType w:val="singleLevel"/>
    <w:tmpl w:val="D362F2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F338A"/>
    <w:rsid w:val="2B0B2710"/>
    <w:rsid w:val="2DA873E8"/>
    <w:rsid w:val="327609D7"/>
    <w:rsid w:val="35385C0E"/>
    <w:rsid w:val="49E90C34"/>
    <w:rsid w:val="4BBB7CE8"/>
    <w:rsid w:val="529A1CCE"/>
    <w:rsid w:val="543D0013"/>
    <w:rsid w:val="54A77ADB"/>
    <w:rsid w:val="582252FA"/>
    <w:rsid w:val="59B76C66"/>
    <w:rsid w:val="5D482D1F"/>
    <w:rsid w:val="5E7D7F71"/>
    <w:rsid w:val="64072D0A"/>
    <w:rsid w:val="67D10C86"/>
    <w:rsid w:val="7AFD0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2020-09-12T13:51:50Z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