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bookmarkStart w:id="19" w:name="_GoBack"/>
            <w:r>
              <w:rPr>
                <w:rFonts w:asciiTheme="minorEastAsia" w:hAnsiTheme="minorEastAsia" w:eastAsiaTheme="minorEastAsia"/>
                <w:sz w:val="20"/>
              </w:rPr>
              <w:t>重庆宝元森仪表制造有限公司</w:t>
            </w:r>
            <w:bookmarkEnd w:id="0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重庆市北碚区北温泉街道金龙湖工业园区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严老师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18983075959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谢忠华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0237-2019-Q-2020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流量仪表、液位仪表、压力变送器的设计、生产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19.05.01;34.05.00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2020年10月14日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2020年10月14日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2020年10月14日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 xml:space="preserve">2020年10月14日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</w:tcPr>
                <w:p>
                  <w:pPr>
                    <w:ind w:right="31" w:rightChars="13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14日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文平、张心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123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：:30-1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</w:t>
                  </w:r>
                </w:p>
                <w:p>
                  <w:pPr>
                    <w:pStyle w:val="9"/>
                    <w:numPr>
                      <w:numId w:val="0"/>
                    </w:numPr>
                    <w:spacing w:line="300" w:lineRule="exact"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 9.2内部审核；9.3管理评审；10.3持续改进；标准/规范/法规的执行情况、上次审核不符合项的验证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7.1.5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43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-16:30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销售部：张心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8.2产品和服务的要求；9.1.2顾客满意；9.1.3分析和评价；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：:30-1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技术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文平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）；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9.1.1监测、分析和评价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-16:30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产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文平</w:t>
                  </w:r>
                </w:p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8.5.1生产和服务提供的控制；8.5.2标识和可追溯性；8.5.3顾客或外部供方的财产；8.5.4防护；8.5.5交付后的活动；8.5.6更改控制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10.1改进 总则；10.2不合格和纠正措施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（文平、张心）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B31250"/>
    <w:rsid w:val="666906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2020-10-12T14:39:14Z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