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r>
        <w:rPr>
          <w:rFonts w:hint="eastAsia"/>
          <w:b/>
          <w:sz w:val="22"/>
          <w:szCs w:val="22"/>
          <w:lang w:eastAsia="zh-CN"/>
        </w:rPr>
        <w:t>□</w:t>
      </w:r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318"/>
        <w:gridCol w:w="1212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重庆伯仲物流有限公司</w:t>
            </w:r>
            <w:bookmarkEnd w:id="3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Q：31.04.01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E：31.04.01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Q：31.04.01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E：31.04.01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31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21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31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21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widowControl w:val="0"/>
              <w:spacing w:before="25" w:after="25"/>
              <w:jc w:val="both"/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highlight w:val="none"/>
                <w:lang w:val="zh-TW" w:eastAsia="zh-TW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highlight w:val="none"/>
                <w:rtl w:val="0"/>
                <w:lang w:val="zh-CN" w:eastAsia="zh-CN" w:bidi="ar-SA"/>
              </w:rPr>
              <w:t>货运流程：签订合同——制定运输方案—-按照方案执行——</w:t>
            </w:r>
            <w:bookmarkStart w:id="5" w:name="_GoBack"/>
            <w:bookmarkEnd w:id="5"/>
            <w:r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highlight w:val="none"/>
                <w:rtl w:val="0"/>
                <w:lang w:val="zh-CN" w:eastAsia="zh-CN" w:bidi="ar-SA"/>
              </w:rPr>
              <w:t>客户确认。</w:t>
            </w:r>
          </w:p>
          <w:p>
            <w:pPr>
              <w:widowControl w:val="0"/>
              <w:spacing w:before="25" w:after="25"/>
              <w:jc w:val="both"/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highlight w:val="none"/>
                <w:lang w:val="en-US" w:eastAsia="zh-CN" w:bidi="ar-SA"/>
              </w:rPr>
              <w:t>运输过程为关键过程。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widowControl w:val="0"/>
              <w:spacing w:before="25" w:after="25"/>
              <w:jc w:val="both"/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highlight w:val="none"/>
                <w:rtl w:val="0"/>
                <w:lang w:val="zh-CN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highlight w:val="none"/>
                <w:rtl w:val="0"/>
                <w:lang w:val="zh-CN" w:eastAsia="zh-CN" w:bidi="ar-SA"/>
              </w:rPr>
              <w:t>服务过程的主要风险：运输人员及车辆、货物的安全性、运输时间的控制等。</w:t>
            </w:r>
          </w:p>
          <w:p>
            <w:pPr>
              <w:widowControl w:val="0"/>
              <w:spacing w:before="25" w:after="25"/>
              <w:jc w:val="both"/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highlight w:val="none"/>
                <w:rtl w:val="0"/>
                <w:lang w:val="zh-CN" w:eastAsia="zh-CN" w:bidi="ar-SA"/>
              </w:rPr>
            </w:pPr>
          </w:p>
          <w:p>
            <w:pPr>
              <w:widowControl w:val="0"/>
              <w:spacing w:before="25" w:after="25"/>
              <w:jc w:val="both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highlight w:val="none"/>
                <w:rtl w:val="0"/>
                <w:lang w:val="zh-CN" w:eastAsia="zh-CN" w:bidi="ar-SA"/>
              </w:rPr>
              <w:t>控制措施：驾驶人员资格确认，按作业指导书操作，车辆定期维护保养等。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widowControl w:val="0"/>
              <w:spacing w:before="25" w:after="25"/>
              <w:jc w:val="both"/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highlight w:val="none"/>
                <w:lang w:val="en-US" w:eastAsia="zh-CN" w:bidi="ar-SA"/>
              </w:rPr>
              <w:t>潜在火灾、固废排放、噪声排放，采取分类收集、管理方案和预案措施管理。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中华人民共和国合同法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  <w:lang w:eastAsia="zh-CN"/>
              </w:rPr>
              <w:t>》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  <w:lang w:eastAsia="zh-CN"/>
              </w:rPr>
              <w:t>《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中华人民共和国劳动法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  <w:lang w:eastAsia="zh-CN"/>
              </w:rPr>
              <w:t>》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  <w:lang w:eastAsia="zh-CN"/>
              </w:rPr>
              <w:t>《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中华人民共和国消费者权益法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  <w:lang w:eastAsia="zh-CN"/>
              </w:rPr>
              <w:t>》、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《中华人民共和国道路交通安全法》、《中华人民共和国道路交通安全法实施条例》、《中华人民共和国道路运输条例》、《汽车租赁服务规范》等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60" w:lineRule="atLeas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主要质量要求：运输线路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的规划</w:t>
            </w:r>
            <w:r>
              <w:rPr>
                <w:rFonts w:hint="eastAsia" w:ascii="宋体" w:hAnsi="宋体"/>
                <w:sz w:val="21"/>
                <w:szCs w:val="21"/>
              </w:rPr>
              <w:t>、运输时间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的控制</w:t>
            </w:r>
            <w:r>
              <w:rPr>
                <w:rFonts w:hint="eastAsia" w:ascii="宋体" w:hAnsi="宋体"/>
                <w:sz w:val="21"/>
                <w:szCs w:val="21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运输过程安全控制</w:t>
            </w:r>
            <w:r>
              <w:rPr>
                <w:rFonts w:hint="eastAsia" w:ascii="宋体" w:hAnsi="宋体"/>
                <w:sz w:val="21"/>
                <w:szCs w:val="21"/>
              </w:rPr>
              <w:t>等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</w:t>
      </w:r>
      <w:r>
        <w:rPr>
          <w:rFonts w:hint="eastAsia" w:ascii="宋体"/>
          <w:b/>
          <w:sz w:val="18"/>
          <w:szCs w:val="18"/>
        </w:rPr>
        <w:t xml:space="preserve">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2020.9.4</w:t>
      </w:r>
      <w:r>
        <w:rPr>
          <w:rFonts w:hint="eastAsia" w:ascii="宋体" w:hAnsi="宋体" w:eastAsia="宋体" w:cs="宋体"/>
          <w:b/>
          <w:sz w:val="21"/>
          <w:szCs w:val="21"/>
        </w:rPr>
        <w:t xml:space="preserve">   </w:t>
      </w:r>
      <w:r>
        <w:rPr>
          <w:rFonts w:hint="eastAsia"/>
          <w:b/>
          <w:sz w:val="18"/>
          <w:szCs w:val="18"/>
        </w:rPr>
        <w:t xml:space="preserve">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</w:t>
      </w:r>
      <w:r>
        <w:rPr>
          <w:rFonts w:hint="eastAsia" w:ascii="宋体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2020.9.4</w:t>
      </w:r>
      <w:r>
        <w:rPr>
          <w:rFonts w:hint="eastAsia" w:ascii="宋体" w:hAnsi="宋体" w:eastAsia="宋体" w:cs="宋体"/>
          <w:b/>
          <w:sz w:val="21"/>
          <w:szCs w:val="21"/>
        </w:rPr>
        <w:t xml:space="preserve">  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Tw Cen MT">
    <w:panose1 w:val="020B0602020104020603"/>
    <w:charset w:val="00"/>
    <w:family w:val="auto"/>
    <w:pitch w:val="default"/>
    <w:sig w:usb0="00000003" w:usb1="00000000" w:usb2="00000000" w:usb3="00000000" w:csb0="20000003" w:csb1="00000000"/>
  </w:font>
  <w:font w:name="Vivaldi">
    <w:panose1 w:val="03020602050506090804"/>
    <w:charset w:val="00"/>
    <w:family w:val="auto"/>
    <w:pitch w:val="default"/>
    <w:sig w:usb0="00000003" w:usb1="00000000" w:usb2="00000000" w:usb3="00000000" w:csb0="2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387248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1</TotalTime>
  <ScaleCrop>false</ScaleCrop>
  <LinksUpToDate>false</LinksUpToDate>
  <CharactersWithSpaces>314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Dell</cp:lastModifiedBy>
  <dcterms:modified xsi:type="dcterms:W3CDTF">2020-09-03T02:52:11Z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