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69" w:rsidRDefault="00934BB3" w:rsidP="003E10F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B0869" w:rsidRDefault="00934BB3" w:rsidP="003E10F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966"/>
        <w:gridCol w:w="989"/>
        <w:gridCol w:w="955"/>
        <w:gridCol w:w="910"/>
        <w:gridCol w:w="1505"/>
        <w:gridCol w:w="1720"/>
        <w:gridCol w:w="1379"/>
      </w:tblGrid>
      <w:tr w:rsidR="006B086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道达电动车制造成都有限公司</w:t>
            </w:r>
            <w:bookmarkEnd w:id="3"/>
          </w:p>
        </w:tc>
        <w:tc>
          <w:tcPr>
            <w:tcW w:w="1720" w:type="dxa"/>
            <w:vAlign w:val="center"/>
          </w:tcPr>
          <w:p w:rsidR="006B0869" w:rsidRDefault="00934B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6B0869" w:rsidRDefault="00934B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6B0869" w:rsidRDefault="00934B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3E10FA">
              <w:rPr>
                <w:b/>
                <w:sz w:val="20"/>
              </w:rPr>
              <w:t>22.05.03</w:t>
            </w:r>
          </w:p>
          <w:p w:rsidR="006B0869" w:rsidRDefault="00934B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3E10FA">
              <w:rPr>
                <w:b/>
                <w:sz w:val="20"/>
              </w:rPr>
              <w:t>22.05.03</w:t>
            </w:r>
            <w:bookmarkEnd w:id="4"/>
          </w:p>
        </w:tc>
      </w:tr>
      <w:tr w:rsidR="006B086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10" w:type="dxa"/>
            <w:gridSpan w:val="3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沙黎明</w:t>
            </w:r>
          </w:p>
        </w:tc>
        <w:tc>
          <w:tcPr>
            <w:tcW w:w="910" w:type="dxa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0869" w:rsidRDefault="00934BB3" w:rsidP="00F0742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Q:</w:t>
            </w:r>
            <w:r w:rsidR="003E10FA">
              <w:rPr>
                <w:sz w:val="20"/>
              </w:rPr>
              <w:t>22.05.03</w:t>
            </w:r>
          </w:p>
        </w:tc>
        <w:tc>
          <w:tcPr>
            <w:tcW w:w="1720" w:type="dxa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0869" w:rsidRDefault="00934B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0742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6" w:type="dxa"/>
            <w:vAlign w:val="center"/>
          </w:tcPr>
          <w:p w:rsidR="00F07429" w:rsidRDefault="00F07429" w:rsidP="00220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89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5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0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742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66" w:type="dxa"/>
            <w:vAlign w:val="center"/>
          </w:tcPr>
          <w:p w:rsidR="00F07429" w:rsidRDefault="00F07429" w:rsidP="00220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89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5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0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07429" w:rsidRDefault="00F074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7429">
        <w:trPr>
          <w:cantSplit/>
          <w:trHeight w:val="21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07429" w:rsidRDefault="00F074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07429" w:rsidRPr="002220D1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bookmarkStart w:id="5" w:name="_Hlk35336696"/>
            <w:r w:rsidRPr="002220D1">
              <w:rPr>
                <w:rFonts w:hint="eastAsia"/>
                <w:sz w:val="21"/>
                <w:szCs w:val="21"/>
              </w:rPr>
              <w:t>工艺流程：</w:t>
            </w:r>
          </w:p>
          <w:bookmarkEnd w:id="5"/>
          <w:p w:rsidR="00F07429" w:rsidRPr="002220D1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2220D1"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  <w:p w:rsidR="00F07429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2220D1">
              <w:rPr>
                <w:rFonts w:hint="eastAsia"/>
                <w:sz w:val="21"/>
                <w:szCs w:val="21"/>
              </w:rPr>
              <w:t>特殊过程</w:t>
            </w:r>
            <w:r w:rsidRPr="002220D1">
              <w:rPr>
                <w:rFonts w:hint="eastAsia"/>
                <w:sz w:val="21"/>
                <w:szCs w:val="21"/>
              </w:rPr>
              <w:t>:</w:t>
            </w:r>
            <w:r w:rsidRPr="002220D1">
              <w:rPr>
                <w:rFonts w:hint="eastAsia"/>
                <w:sz w:val="21"/>
                <w:szCs w:val="21"/>
              </w:rPr>
              <w:t>焊接</w:t>
            </w:r>
            <w:r>
              <w:rPr>
                <w:rFonts w:hint="eastAsia"/>
                <w:sz w:val="21"/>
                <w:szCs w:val="21"/>
              </w:rPr>
              <w:t>、表面处理</w:t>
            </w:r>
            <w:r w:rsidRPr="002220D1">
              <w:rPr>
                <w:rFonts w:hint="eastAsia"/>
                <w:sz w:val="21"/>
                <w:szCs w:val="21"/>
              </w:rPr>
              <w:t>过程</w:t>
            </w:r>
          </w:p>
        </w:tc>
      </w:tr>
      <w:tr w:rsidR="00F0742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F07429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机加、装配、调试过程存在风险有尺寸、装配紧固度、性能等不合格，采取拟定作业指导书和检验标准进行控制。</w:t>
            </w:r>
          </w:p>
          <w:p w:rsidR="00F07429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生产过程中存在火灾、触电伤害、机械伤害风险；采取管理方案和应急预案进行控制；</w:t>
            </w:r>
          </w:p>
        </w:tc>
      </w:tr>
      <w:tr w:rsidR="00F07429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07429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F07429">
        <w:trPr>
          <w:cantSplit/>
          <w:trHeight w:val="7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07429" w:rsidRDefault="00F07429" w:rsidP="005C75E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F074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07429" w:rsidRDefault="00F07429" w:rsidP="005C75E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中华人民共和国产品质量法、中华人民共和国水污染防治法、</w:t>
            </w:r>
            <w:r>
              <w:rPr>
                <w:rFonts w:hint="eastAsia"/>
                <w:sz w:val="21"/>
                <w:szCs w:val="21"/>
              </w:rPr>
              <w:t>GB24727-2009</w:t>
            </w:r>
            <w:r>
              <w:rPr>
                <w:rFonts w:hint="eastAsia"/>
                <w:sz w:val="21"/>
                <w:szCs w:val="21"/>
              </w:rPr>
              <w:t>非公路旅游观光车安全使用规范、</w:t>
            </w:r>
            <w:r>
              <w:rPr>
                <w:rFonts w:hint="eastAsia"/>
                <w:sz w:val="21"/>
                <w:szCs w:val="21"/>
              </w:rPr>
              <w:t>GB/T21268-2014</w:t>
            </w:r>
            <w:r>
              <w:rPr>
                <w:rFonts w:hint="eastAsia"/>
                <w:sz w:val="21"/>
                <w:szCs w:val="21"/>
              </w:rPr>
              <w:t>非公路用旅游观光车通用技术条件、</w:t>
            </w:r>
            <w:r>
              <w:rPr>
                <w:rFonts w:hint="eastAsia"/>
                <w:sz w:val="21"/>
                <w:szCs w:val="21"/>
              </w:rPr>
              <w:t>GB28709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非公路用旅游观光车座椅安全带及其固定器、</w:t>
            </w:r>
            <w:r>
              <w:rPr>
                <w:rFonts w:hint="eastAsia"/>
                <w:sz w:val="21"/>
                <w:szCs w:val="21"/>
              </w:rPr>
              <w:t xml:space="preserve"> GB/T24914-2010</w:t>
            </w:r>
            <w:r>
              <w:rPr>
                <w:rFonts w:hint="eastAsia"/>
                <w:sz w:val="21"/>
                <w:szCs w:val="21"/>
              </w:rPr>
              <w:t>标准名称：非公路旅游观光车用铅酸蓄电池</w:t>
            </w:r>
            <w:r>
              <w:rPr>
                <w:rFonts w:hint="eastAsia"/>
                <w:sz w:val="21"/>
                <w:szCs w:val="21"/>
              </w:rPr>
              <w:t>.</w:t>
            </w:r>
          </w:p>
          <w:p w:rsidR="00F07429" w:rsidRDefault="00F07429" w:rsidP="005C7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07429">
        <w:trPr>
          <w:cantSplit/>
          <w:trHeight w:val="8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07429" w:rsidRPr="002220D1" w:rsidRDefault="00F07429" w:rsidP="005C75E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有型式试验要求，检验项目有</w:t>
            </w:r>
            <w:r w:rsidRPr="002220D1">
              <w:rPr>
                <w:rFonts w:hint="eastAsia"/>
                <w:sz w:val="20"/>
              </w:rPr>
              <w:t>转向力、行驶速度、制动距离、续驶里程、满载最大爬坡度等</w:t>
            </w:r>
          </w:p>
        </w:tc>
      </w:tr>
      <w:tr w:rsidR="00F07429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7429" w:rsidRDefault="00F074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  <w:vAlign w:val="center"/>
          </w:tcPr>
          <w:p w:rsidR="00F07429" w:rsidRDefault="00F07429" w:rsidP="005C7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6B0869" w:rsidRDefault="006B0869">
      <w:pPr>
        <w:snapToGrid w:val="0"/>
        <w:rPr>
          <w:rFonts w:ascii="宋体"/>
          <w:b/>
          <w:sz w:val="22"/>
          <w:szCs w:val="22"/>
        </w:rPr>
      </w:pPr>
    </w:p>
    <w:p w:rsidR="006B0869" w:rsidRDefault="00934B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06</w:t>
      </w:r>
      <w:r>
        <w:rPr>
          <w:rFonts w:hint="eastAsia"/>
          <w:b/>
          <w:sz w:val="20"/>
        </w:rPr>
        <w:t>日</w:t>
      </w:r>
      <w:r>
        <w:rPr>
          <w:rFonts w:ascii="宋体" w:hint="eastAsia"/>
          <w:b/>
          <w:sz w:val="22"/>
          <w:szCs w:val="22"/>
        </w:rPr>
        <w:t xml:space="preserve"> </w:t>
      </w:r>
      <w:r w:rsidR="00F07429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06</w:t>
      </w:r>
      <w:r>
        <w:rPr>
          <w:rFonts w:hint="eastAsia"/>
          <w:b/>
          <w:sz w:val="20"/>
        </w:rPr>
        <w:t>日</w:t>
      </w:r>
    </w:p>
    <w:p w:rsidR="006B0869" w:rsidRDefault="006B086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B0869" w:rsidRDefault="00934B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6B0869" w:rsidSect="006B0869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4B" w:rsidRDefault="009D514B" w:rsidP="006B0869">
      <w:r>
        <w:separator/>
      </w:r>
    </w:p>
  </w:endnote>
  <w:endnote w:type="continuationSeparator" w:id="0">
    <w:p w:rsidR="009D514B" w:rsidRDefault="009D514B" w:rsidP="006B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4B" w:rsidRDefault="009D514B" w:rsidP="006B0869">
      <w:r>
        <w:separator/>
      </w:r>
    </w:p>
  </w:footnote>
  <w:footnote w:type="continuationSeparator" w:id="0">
    <w:p w:rsidR="009D514B" w:rsidRDefault="009D514B" w:rsidP="006B0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69" w:rsidRDefault="00934BB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0869" w:rsidRDefault="00C2786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6B0869" w:rsidRDefault="00934BB3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4BB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34BB3">
      <w:rPr>
        <w:rStyle w:val="CharChar1"/>
        <w:rFonts w:hint="default"/>
        <w:w w:val="90"/>
      </w:rPr>
      <w:t>Co.,Ltd</w:t>
    </w:r>
    <w:proofErr w:type="spellEnd"/>
    <w:r w:rsidR="00934BB3">
      <w:rPr>
        <w:rStyle w:val="CharChar1"/>
        <w:rFonts w:hint="default"/>
        <w:w w:val="90"/>
      </w:rPr>
      <w:t>.</w:t>
    </w:r>
  </w:p>
  <w:p w:rsidR="006B0869" w:rsidRDefault="00C2786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869"/>
    <w:rsid w:val="003E10FA"/>
    <w:rsid w:val="006B0869"/>
    <w:rsid w:val="00934BB3"/>
    <w:rsid w:val="009D514B"/>
    <w:rsid w:val="00C2786C"/>
    <w:rsid w:val="00F07429"/>
    <w:rsid w:val="45F0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086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6B0869"/>
    <w:rPr>
      <w:sz w:val="21"/>
    </w:rPr>
  </w:style>
  <w:style w:type="paragraph" w:styleId="a4">
    <w:name w:val="footer"/>
    <w:basedOn w:val="a"/>
    <w:link w:val="Char"/>
    <w:uiPriority w:val="99"/>
    <w:unhideWhenUsed/>
    <w:qFormat/>
    <w:rsid w:val="006B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rsid w:val="006B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6B08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B086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B086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2015-06-17T11:40:00Z</dcterms:created>
  <dcterms:modified xsi:type="dcterms:W3CDTF">2020-09-14T13:47:00Z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