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CC0" w:rsidRDefault="00031641" w:rsidP="00DF784C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62CC0" w:rsidRDefault="00031641" w:rsidP="00DF784C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232"/>
        <w:gridCol w:w="1298"/>
        <w:gridCol w:w="1290"/>
        <w:gridCol w:w="1505"/>
        <w:gridCol w:w="1720"/>
        <w:gridCol w:w="1379"/>
      </w:tblGrid>
      <w:tr w:rsidR="00562CC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62CC0" w:rsidRDefault="000316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562CC0" w:rsidRDefault="000316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道达电动车制造成都有限公司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562CC0" w:rsidRDefault="0003164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62CC0" w:rsidRDefault="0003164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562CC0" w:rsidRDefault="0003164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 w:rsidR="00DF784C">
              <w:rPr>
                <w:b/>
                <w:sz w:val="20"/>
              </w:rPr>
              <w:t>22.05.03</w:t>
            </w:r>
          </w:p>
          <w:p w:rsidR="00562CC0" w:rsidRDefault="0003164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 w:rsidR="00DF784C">
              <w:rPr>
                <w:b/>
                <w:sz w:val="20"/>
              </w:rPr>
              <w:t>22.05.03</w:t>
            </w:r>
            <w:bookmarkEnd w:id="5"/>
          </w:p>
        </w:tc>
      </w:tr>
      <w:tr w:rsidR="00562CC0">
        <w:trPr>
          <w:cantSplit/>
          <w:trHeight w:val="629"/>
          <w:jc w:val="center"/>
        </w:trPr>
        <w:tc>
          <w:tcPr>
            <w:tcW w:w="2249" w:type="dxa"/>
            <w:gridSpan w:val="2"/>
            <w:vAlign w:val="center"/>
          </w:tcPr>
          <w:p w:rsidR="00562CC0" w:rsidRDefault="000316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562CC0" w:rsidRDefault="000316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沙黎明</w:t>
            </w:r>
          </w:p>
        </w:tc>
        <w:tc>
          <w:tcPr>
            <w:tcW w:w="1290" w:type="dxa"/>
            <w:vAlign w:val="center"/>
          </w:tcPr>
          <w:p w:rsidR="00562CC0" w:rsidRDefault="000316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62CC0" w:rsidRDefault="000316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 w:rsidR="00DF784C">
              <w:rPr>
                <w:sz w:val="21"/>
                <w:szCs w:val="21"/>
              </w:rPr>
              <w:t>22.05.03</w:t>
            </w:r>
          </w:p>
          <w:p w:rsidR="00562CC0" w:rsidRDefault="000316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</w:t>
            </w:r>
            <w:r w:rsidR="00DF784C">
              <w:rPr>
                <w:sz w:val="21"/>
                <w:szCs w:val="21"/>
              </w:rPr>
              <w:t>22.05.03</w:t>
            </w:r>
          </w:p>
        </w:tc>
        <w:tc>
          <w:tcPr>
            <w:tcW w:w="1720" w:type="dxa"/>
            <w:vAlign w:val="center"/>
          </w:tcPr>
          <w:p w:rsidR="00562CC0" w:rsidRDefault="000316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62CC0" w:rsidRDefault="000316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562CC0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562CC0" w:rsidRDefault="000316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62CC0" w:rsidRDefault="0003164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2" w:type="dxa"/>
            <w:vAlign w:val="center"/>
          </w:tcPr>
          <w:p w:rsidR="00562CC0" w:rsidRDefault="000316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8" w:type="dxa"/>
            <w:vAlign w:val="center"/>
          </w:tcPr>
          <w:p w:rsidR="00562CC0" w:rsidRDefault="000316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290" w:type="dxa"/>
            <w:vAlign w:val="center"/>
          </w:tcPr>
          <w:p w:rsidR="00562CC0" w:rsidRDefault="00562C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62CC0" w:rsidRDefault="00562C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62CC0" w:rsidRDefault="00562C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62CC0" w:rsidRDefault="00562C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62CC0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562CC0" w:rsidRDefault="00562C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562CC0" w:rsidRDefault="000316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32" w:type="dxa"/>
            <w:vAlign w:val="center"/>
          </w:tcPr>
          <w:p w:rsidR="00562CC0" w:rsidRDefault="000316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8" w:type="dxa"/>
            <w:vAlign w:val="center"/>
          </w:tcPr>
          <w:p w:rsidR="00562CC0" w:rsidRDefault="000316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562CC0" w:rsidRDefault="00562C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62CC0" w:rsidRDefault="00562C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62CC0" w:rsidRDefault="00562C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62CC0" w:rsidRDefault="00562C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62CC0">
        <w:trPr>
          <w:cantSplit/>
          <w:trHeight w:val="199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2CC0" w:rsidRDefault="000316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62CC0" w:rsidRDefault="000316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2220D1" w:rsidRPr="002220D1" w:rsidRDefault="002220D1" w:rsidP="002220D1">
            <w:pPr>
              <w:spacing w:line="400" w:lineRule="exact"/>
              <w:jc w:val="left"/>
              <w:rPr>
                <w:sz w:val="21"/>
                <w:szCs w:val="21"/>
              </w:rPr>
            </w:pPr>
            <w:bookmarkStart w:id="6" w:name="_Hlk35336696"/>
            <w:r w:rsidRPr="002220D1">
              <w:rPr>
                <w:rFonts w:hint="eastAsia"/>
                <w:sz w:val="21"/>
                <w:szCs w:val="21"/>
              </w:rPr>
              <w:t>工艺流程：</w:t>
            </w:r>
          </w:p>
          <w:bookmarkEnd w:id="6"/>
          <w:p w:rsidR="002220D1" w:rsidRPr="002220D1" w:rsidRDefault="002220D1" w:rsidP="002220D1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2220D1">
              <w:rPr>
                <w:rFonts w:hint="eastAsia"/>
                <w:sz w:val="21"/>
                <w:szCs w:val="21"/>
              </w:rPr>
              <w:t>机械加工→表面处理（静电喷涂）→底盘装配→车壳装配→内饰件装配→调试→入库→出厂</w:t>
            </w:r>
          </w:p>
          <w:p w:rsidR="00562CC0" w:rsidRDefault="00031641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2220D1">
              <w:rPr>
                <w:rFonts w:hint="eastAsia"/>
                <w:sz w:val="21"/>
                <w:szCs w:val="21"/>
              </w:rPr>
              <w:t>特殊过程</w:t>
            </w:r>
            <w:r w:rsidRPr="002220D1">
              <w:rPr>
                <w:rFonts w:hint="eastAsia"/>
                <w:sz w:val="21"/>
                <w:szCs w:val="21"/>
              </w:rPr>
              <w:t>:</w:t>
            </w:r>
            <w:r w:rsidR="002220D1" w:rsidRPr="002220D1">
              <w:rPr>
                <w:rFonts w:hint="eastAsia"/>
                <w:sz w:val="21"/>
                <w:szCs w:val="21"/>
              </w:rPr>
              <w:t>焊接</w:t>
            </w:r>
            <w:r w:rsidR="00036FF9">
              <w:rPr>
                <w:rFonts w:hint="eastAsia"/>
                <w:sz w:val="21"/>
                <w:szCs w:val="21"/>
              </w:rPr>
              <w:t>、表面处理</w:t>
            </w:r>
            <w:r w:rsidRPr="002220D1">
              <w:rPr>
                <w:rFonts w:hint="eastAsia"/>
                <w:sz w:val="21"/>
                <w:szCs w:val="21"/>
              </w:rPr>
              <w:t>过程</w:t>
            </w:r>
            <w:bookmarkStart w:id="7" w:name="_GoBack"/>
            <w:bookmarkEnd w:id="7"/>
          </w:p>
        </w:tc>
      </w:tr>
      <w:tr w:rsidR="00562CC0">
        <w:trPr>
          <w:cantSplit/>
          <w:trHeight w:val="115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2CC0" w:rsidRDefault="000316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62CC0" w:rsidRDefault="000316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62CC0" w:rsidRDefault="000316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562CC0" w:rsidRDefault="00562CC0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2220D1" w:rsidRDefault="002220D1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机加、装配、调试过程存在风险有尺寸、装配紧固度、性能等不合格，采取拟定作业指导书和检验标准进行控制。</w:t>
            </w:r>
          </w:p>
          <w:p w:rsidR="00562CC0" w:rsidRDefault="002220D1" w:rsidP="002220D1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</w:t>
            </w:r>
            <w:r w:rsidR="00031641">
              <w:rPr>
                <w:rFonts w:hint="eastAsia"/>
                <w:sz w:val="21"/>
                <w:szCs w:val="21"/>
              </w:rPr>
              <w:t>过程</w:t>
            </w:r>
            <w:r>
              <w:rPr>
                <w:rFonts w:hint="eastAsia"/>
                <w:sz w:val="21"/>
                <w:szCs w:val="21"/>
              </w:rPr>
              <w:t>中存在</w:t>
            </w:r>
            <w:r w:rsidR="00031641">
              <w:rPr>
                <w:rFonts w:hint="eastAsia"/>
                <w:sz w:val="21"/>
                <w:szCs w:val="21"/>
              </w:rPr>
              <w:t>火灾、触电伤害</w:t>
            </w:r>
            <w:r>
              <w:rPr>
                <w:rFonts w:hint="eastAsia"/>
                <w:sz w:val="21"/>
                <w:szCs w:val="21"/>
              </w:rPr>
              <w:t>、机械伤害</w:t>
            </w:r>
            <w:r w:rsidR="00031641">
              <w:rPr>
                <w:rFonts w:hint="eastAsia"/>
                <w:sz w:val="21"/>
                <w:szCs w:val="21"/>
              </w:rPr>
              <w:t>风险；</w:t>
            </w:r>
            <w:r>
              <w:rPr>
                <w:rFonts w:hint="eastAsia"/>
                <w:sz w:val="21"/>
                <w:szCs w:val="21"/>
              </w:rPr>
              <w:t>采取管理方案和应急预案进行控制</w:t>
            </w:r>
            <w:r w:rsidR="00031641">
              <w:rPr>
                <w:rFonts w:hint="eastAsia"/>
                <w:sz w:val="21"/>
                <w:szCs w:val="21"/>
              </w:rPr>
              <w:t>；</w:t>
            </w:r>
          </w:p>
        </w:tc>
      </w:tr>
      <w:tr w:rsidR="00562CC0">
        <w:trPr>
          <w:cantSplit/>
          <w:trHeight w:val="12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2CC0" w:rsidRDefault="000316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562CC0" w:rsidRDefault="002220D1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562CC0">
        <w:trPr>
          <w:cantSplit/>
          <w:trHeight w:val="71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2CC0" w:rsidRDefault="000316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562CC0" w:rsidRDefault="002220D1" w:rsidP="002220D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火灾、触电伤害、机械伤害，采取管理方案和应急预案进行控制；</w:t>
            </w:r>
          </w:p>
        </w:tc>
      </w:tr>
      <w:tr w:rsidR="00562CC0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2CC0" w:rsidRDefault="0003164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562CC0" w:rsidRDefault="00031641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中华人民共和国产品质量法、中华人民共和国水污染防治法、</w:t>
            </w:r>
            <w:r>
              <w:rPr>
                <w:rFonts w:hint="eastAsia"/>
                <w:sz w:val="21"/>
                <w:szCs w:val="21"/>
              </w:rPr>
              <w:t>GB24727-2009</w:t>
            </w:r>
            <w:r>
              <w:rPr>
                <w:rFonts w:hint="eastAsia"/>
                <w:sz w:val="21"/>
                <w:szCs w:val="21"/>
              </w:rPr>
              <w:t>非公路旅游观光车安全使用规范、</w:t>
            </w:r>
            <w:r>
              <w:rPr>
                <w:rFonts w:hint="eastAsia"/>
                <w:sz w:val="21"/>
                <w:szCs w:val="21"/>
              </w:rPr>
              <w:t>GB/T21268-2014</w:t>
            </w:r>
            <w:r>
              <w:rPr>
                <w:rFonts w:hint="eastAsia"/>
                <w:sz w:val="21"/>
                <w:szCs w:val="21"/>
              </w:rPr>
              <w:t>非公路用旅游观光车通用技术条件、</w:t>
            </w:r>
            <w:r>
              <w:rPr>
                <w:rFonts w:hint="eastAsia"/>
                <w:sz w:val="21"/>
                <w:szCs w:val="21"/>
              </w:rPr>
              <w:t>GB28709</w:t>
            </w:r>
            <w:r>
              <w:rPr>
                <w:rFonts w:hint="eastAsia"/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</w:rPr>
              <w:t>2012</w:t>
            </w:r>
            <w:r>
              <w:rPr>
                <w:rFonts w:hint="eastAsia"/>
                <w:sz w:val="21"/>
                <w:szCs w:val="21"/>
              </w:rPr>
              <w:t>非公路用旅游观光车座椅安全带及其固定器、</w:t>
            </w:r>
            <w:r>
              <w:rPr>
                <w:rFonts w:hint="eastAsia"/>
                <w:sz w:val="21"/>
                <w:szCs w:val="21"/>
              </w:rPr>
              <w:t xml:space="preserve"> GB/T24914-2010</w:t>
            </w:r>
            <w:r>
              <w:rPr>
                <w:rFonts w:hint="eastAsia"/>
                <w:sz w:val="21"/>
                <w:szCs w:val="21"/>
              </w:rPr>
              <w:t>标准名称：非公路旅游观光车用铅酸蓄电池</w:t>
            </w:r>
            <w:r>
              <w:rPr>
                <w:rFonts w:hint="eastAsia"/>
                <w:sz w:val="21"/>
                <w:szCs w:val="21"/>
              </w:rPr>
              <w:t>.</w:t>
            </w:r>
          </w:p>
          <w:p w:rsidR="00562CC0" w:rsidRDefault="00562C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62CC0">
        <w:trPr>
          <w:cantSplit/>
          <w:trHeight w:val="88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2CC0" w:rsidRDefault="0003164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562CC0" w:rsidRPr="002220D1" w:rsidRDefault="002220D1" w:rsidP="002220D1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有型式试验要求，检验项目有</w:t>
            </w:r>
            <w:r w:rsidRPr="002220D1">
              <w:rPr>
                <w:rFonts w:hint="eastAsia"/>
                <w:sz w:val="20"/>
              </w:rPr>
              <w:t>转向力、行驶速度、制动距离、续驶里程、满载最大爬坡度等</w:t>
            </w:r>
          </w:p>
        </w:tc>
      </w:tr>
      <w:tr w:rsidR="00562CC0">
        <w:trPr>
          <w:cantSplit/>
          <w:trHeight w:val="60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62CC0" w:rsidRDefault="0003164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562CC0" w:rsidRDefault="000316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562CC0" w:rsidRDefault="00562CC0">
      <w:pPr>
        <w:snapToGrid w:val="0"/>
        <w:rPr>
          <w:rFonts w:ascii="宋体"/>
          <w:b/>
          <w:sz w:val="22"/>
          <w:szCs w:val="22"/>
        </w:rPr>
      </w:pPr>
    </w:p>
    <w:p w:rsidR="00562CC0" w:rsidRDefault="0003164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</w:rPr>
        <w:t>2020</w:t>
      </w:r>
      <w:r>
        <w:rPr>
          <w:rFonts w:hint="eastAsia"/>
          <w:b/>
          <w:sz w:val="21"/>
          <w:szCs w:val="21"/>
        </w:rPr>
        <w:t>年</w:t>
      </w:r>
      <w:r>
        <w:rPr>
          <w:rFonts w:hint="eastAsia"/>
          <w:b/>
          <w:sz w:val="21"/>
          <w:szCs w:val="21"/>
        </w:rPr>
        <w:t>09</w:t>
      </w:r>
      <w:r>
        <w:rPr>
          <w:rFonts w:hint="eastAsia"/>
          <w:b/>
          <w:sz w:val="21"/>
          <w:szCs w:val="21"/>
        </w:rPr>
        <w:t>月</w:t>
      </w:r>
      <w:r>
        <w:rPr>
          <w:rFonts w:hint="eastAsia"/>
          <w:b/>
          <w:sz w:val="21"/>
          <w:szCs w:val="21"/>
        </w:rPr>
        <w:t>03</w:t>
      </w:r>
      <w:r>
        <w:rPr>
          <w:rFonts w:hint="eastAsia"/>
          <w:b/>
          <w:sz w:val="21"/>
          <w:szCs w:val="21"/>
        </w:rPr>
        <w:t>日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</w:rPr>
        <w:t>2020</w:t>
      </w:r>
      <w:r>
        <w:rPr>
          <w:rFonts w:hint="eastAsia"/>
          <w:b/>
          <w:sz w:val="21"/>
          <w:szCs w:val="21"/>
        </w:rPr>
        <w:t>年</w:t>
      </w:r>
      <w:r>
        <w:rPr>
          <w:rFonts w:hint="eastAsia"/>
          <w:b/>
          <w:sz w:val="21"/>
          <w:szCs w:val="21"/>
        </w:rPr>
        <w:t>09</w:t>
      </w:r>
      <w:r>
        <w:rPr>
          <w:rFonts w:hint="eastAsia"/>
          <w:b/>
          <w:sz w:val="21"/>
          <w:szCs w:val="21"/>
        </w:rPr>
        <w:t>月</w:t>
      </w:r>
      <w:r>
        <w:rPr>
          <w:rFonts w:hint="eastAsia"/>
          <w:b/>
          <w:sz w:val="21"/>
          <w:szCs w:val="21"/>
        </w:rPr>
        <w:t>03</w:t>
      </w:r>
      <w:r>
        <w:rPr>
          <w:rFonts w:hint="eastAsia"/>
          <w:b/>
          <w:sz w:val="21"/>
          <w:szCs w:val="21"/>
        </w:rPr>
        <w:t>日</w:t>
      </w:r>
    </w:p>
    <w:p w:rsidR="00562CC0" w:rsidRDefault="00562CC0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562CC0" w:rsidRDefault="0003164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562CC0" w:rsidSect="00562CC0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16A" w:rsidRDefault="00A5116A" w:rsidP="00562CC0">
      <w:r>
        <w:separator/>
      </w:r>
    </w:p>
  </w:endnote>
  <w:endnote w:type="continuationSeparator" w:id="0">
    <w:p w:rsidR="00A5116A" w:rsidRDefault="00A5116A" w:rsidP="00562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16A" w:rsidRDefault="00A5116A" w:rsidP="00562CC0">
      <w:r>
        <w:separator/>
      </w:r>
    </w:p>
  </w:footnote>
  <w:footnote w:type="continuationSeparator" w:id="0">
    <w:p w:rsidR="00A5116A" w:rsidRDefault="00A5116A" w:rsidP="00562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CC0" w:rsidRDefault="00E278A5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E278A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031641">
      <w:rPr>
        <w:rStyle w:val="CharChar1"/>
        <w:rFonts w:hint="default"/>
      </w:rPr>
      <w:t>北京国标联合认证有限公司</w:t>
    </w:r>
    <w:r w:rsidR="00031641">
      <w:rPr>
        <w:rStyle w:val="CharChar1"/>
        <w:rFonts w:hint="default"/>
      </w:rPr>
      <w:tab/>
    </w:r>
    <w:r w:rsidR="00031641">
      <w:rPr>
        <w:rStyle w:val="CharChar1"/>
        <w:rFonts w:hint="default"/>
      </w:rPr>
      <w:tab/>
    </w:r>
    <w:r w:rsidR="00031641">
      <w:rPr>
        <w:rStyle w:val="CharChar1"/>
        <w:rFonts w:hint="default"/>
      </w:rPr>
      <w:tab/>
    </w:r>
  </w:p>
  <w:p w:rsidR="00562CC0" w:rsidRDefault="00E278A5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left:0;text-align:left;margin-left:325.25pt;margin-top:2.2pt;width:159.25pt;height:20.2pt;z-index:251658240" stroked="f">
          <v:textbox>
            <w:txbxContent>
              <w:p w:rsidR="00562CC0" w:rsidRDefault="0003164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31641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31641">
      <w:rPr>
        <w:rStyle w:val="CharChar1"/>
        <w:rFonts w:hint="default"/>
        <w:w w:val="90"/>
      </w:rPr>
      <w:t>Co.,Ltd</w:t>
    </w:r>
    <w:proofErr w:type="spellEnd"/>
    <w:r w:rsidR="00031641">
      <w:rPr>
        <w:rStyle w:val="CharChar1"/>
        <w:rFonts w:hint="default"/>
        <w:w w:val="90"/>
      </w:rPr>
      <w:t>.</w:t>
    </w:r>
  </w:p>
  <w:p w:rsidR="00562CC0" w:rsidRDefault="00562CC0">
    <w:pPr>
      <w:pStyle w:val="a6"/>
    </w:pPr>
  </w:p>
  <w:p w:rsidR="00562CC0" w:rsidRDefault="00562CC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CC0"/>
    <w:rsid w:val="00031641"/>
    <w:rsid w:val="00036FF9"/>
    <w:rsid w:val="00037A7F"/>
    <w:rsid w:val="002220D1"/>
    <w:rsid w:val="00562CC0"/>
    <w:rsid w:val="00A5116A"/>
    <w:rsid w:val="00DF784C"/>
    <w:rsid w:val="00E278A5"/>
    <w:rsid w:val="23902453"/>
    <w:rsid w:val="3D355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62CC0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562CC0"/>
    <w:rPr>
      <w:sz w:val="21"/>
    </w:rPr>
  </w:style>
  <w:style w:type="paragraph" w:styleId="a4">
    <w:name w:val="Balloon Text"/>
    <w:basedOn w:val="a"/>
    <w:link w:val="Char"/>
    <w:uiPriority w:val="99"/>
    <w:semiHidden/>
    <w:unhideWhenUsed/>
    <w:rsid w:val="00562CC0"/>
    <w:rPr>
      <w:sz w:val="18"/>
      <w:szCs w:val="18"/>
    </w:rPr>
  </w:style>
  <w:style w:type="paragraph" w:styleId="a5">
    <w:name w:val="footer"/>
    <w:basedOn w:val="a"/>
    <w:link w:val="Char0"/>
    <w:uiPriority w:val="99"/>
    <w:rsid w:val="00562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562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uiPriority w:val="20"/>
    <w:qFormat/>
    <w:locked/>
    <w:rsid w:val="00562CC0"/>
    <w:rPr>
      <w:i/>
      <w:iCs/>
    </w:rPr>
  </w:style>
  <w:style w:type="character" w:customStyle="1" w:styleId="Char0">
    <w:name w:val="页脚 Char"/>
    <w:link w:val="a5"/>
    <w:uiPriority w:val="99"/>
    <w:locked/>
    <w:rsid w:val="00562CC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locked/>
    <w:rsid w:val="00562CC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562CC0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62CC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24</cp:revision>
  <dcterms:created xsi:type="dcterms:W3CDTF">2015-06-17T11:40:00Z</dcterms:created>
  <dcterms:modified xsi:type="dcterms:W3CDTF">2020-09-14T13:45:00Z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