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0"/>
        </w:rPr>
      </w:pPr>
      <w:bookmarkStart w:id="0" w:name="_GoBack"/>
      <w:r>
        <w:drawing>
          <wp:inline distT="0" distB="0" distL="114300" distR="114300">
            <wp:extent cx="6122670" cy="8461375"/>
            <wp:effectExtent l="0" t="0" r="1143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846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"/>
        <w:gridCol w:w="1495"/>
        <w:gridCol w:w="1123"/>
        <w:gridCol w:w="347"/>
        <w:gridCol w:w="2126"/>
        <w:gridCol w:w="1234"/>
        <w:gridCol w:w="1643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2020.8.28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1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13" w:type="dxa"/>
            <w:gridSpan w:val="2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2020.8.31</w:t>
            </w:r>
          </w:p>
        </w:tc>
        <w:tc>
          <w:tcPr>
            <w:tcW w:w="149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1123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所有部门</w:t>
            </w:r>
          </w:p>
        </w:tc>
        <w:tc>
          <w:tcPr>
            <w:tcW w:w="3707" w:type="dxa"/>
            <w:gridSpan w:val="3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43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213" w:type="dxa"/>
            <w:gridSpan w:val="2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2020.8.31</w:t>
            </w:r>
          </w:p>
        </w:tc>
        <w:tc>
          <w:tcPr>
            <w:tcW w:w="149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9:30-15:00</w:t>
            </w:r>
          </w:p>
        </w:tc>
        <w:tc>
          <w:tcPr>
            <w:tcW w:w="1123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7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组织及其环境；相关方的需求和希望；管理体系的范围；管理体系及其过程；管理方针；组织的岗位、职责权限；应对风险和机会的策划；目标和实现计划；变更的策划；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重大风险和重要环境因素的控制；</w:t>
            </w:r>
            <w:r>
              <w:rPr>
                <w:rFonts w:hint="eastAsia"/>
                <w:sz w:val="21"/>
                <w:szCs w:val="21"/>
              </w:rPr>
              <w:t>合规性评价；监视和测量；管理评审；持续改进</w:t>
            </w:r>
          </w:p>
        </w:tc>
        <w:tc>
          <w:tcPr>
            <w:tcW w:w="1643" w:type="dxa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QEO: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5.1/</w:t>
            </w:r>
            <w:r>
              <w:rPr>
                <w:rFonts w:hint="eastAsia"/>
                <w:sz w:val="21"/>
                <w:szCs w:val="21"/>
              </w:rPr>
              <w:t>5.2/5.3/6.1/6.2/9.1.1/9.3/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213" w:type="dxa"/>
            <w:gridSpan w:val="2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2020.8.31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</w:t>
            </w:r>
          </w:p>
        </w:tc>
        <w:tc>
          <w:tcPr>
            <w:tcW w:w="14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15:00-17:30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1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7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组织的岗位、职责权限；目标、指标管理方案；环境因素/危险源识别评价；信息交流、沟通参与和协商；运行策划和控制；应急准备和响应；合规义务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及合规评价</w:t>
            </w:r>
            <w:r>
              <w:rPr>
                <w:rFonts w:hint="eastAsia"/>
                <w:sz w:val="21"/>
                <w:szCs w:val="21"/>
              </w:rPr>
              <w:t>；绩效的监视和测量；事件、不合格及纠正和预防措施控制；内部审核</w:t>
            </w:r>
          </w:p>
        </w:tc>
        <w:tc>
          <w:tcPr>
            <w:tcW w:w="1643" w:type="dxa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O:5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/7.4/8.1/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/>
                <w:sz w:val="21"/>
                <w:szCs w:val="21"/>
              </w:rPr>
              <w:t>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eastAsia"/>
                <w:sz w:val="21"/>
                <w:szCs w:val="21"/>
              </w:rPr>
              <w:t>9.1.2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213" w:type="dxa"/>
            <w:gridSpan w:val="2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2020.9.2</w:t>
            </w:r>
          </w:p>
        </w:tc>
        <w:tc>
          <w:tcPr>
            <w:tcW w:w="14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11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检测部</w:t>
            </w:r>
          </w:p>
        </w:tc>
        <w:tc>
          <w:tcPr>
            <w:tcW w:w="37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产品和服务的评审、设计和开发；供方的评价；</w:t>
            </w:r>
            <w:r>
              <w:rPr>
                <w:rFonts w:hint="eastAsia"/>
                <w:sz w:val="21"/>
                <w:szCs w:val="21"/>
              </w:rPr>
              <w:t>生产和服务提供的控制；变更的控制；产品和服务的放行；不合格输出的控制；环境因素、危险源辨识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/>
                <w:sz w:val="21"/>
                <w:szCs w:val="21"/>
              </w:rPr>
              <w:t>控制措施的确定；应急准备和响应</w:t>
            </w:r>
          </w:p>
        </w:tc>
        <w:tc>
          <w:tcPr>
            <w:tcW w:w="1643" w:type="dxa"/>
          </w:tcPr>
          <w:p>
            <w:pPr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/8.1/9.1.1/10.2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Q:8.2/8.3/8.4/8.5.1</w:t>
            </w:r>
            <w:r>
              <w:rPr>
                <w:rFonts w:hint="eastAsia"/>
                <w:sz w:val="21"/>
                <w:szCs w:val="21"/>
              </w:rPr>
              <w:t>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/>
                <w:sz w:val="21"/>
                <w:szCs w:val="21"/>
              </w:rPr>
              <w:t>6.1.2/8.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13" w:type="dxa"/>
            <w:gridSpan w:val="2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2020.9.2</w:t>
            </w:r>
          </w:p>
        </w:tc>
        <w:tc>
          <w:tcPr>
            <w:tcW w:w="14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112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所有部门</w:t>
            </w:r>
          </w:p>
        </w:tc>
        <w:tc>
          <w:tcPr>
            <w:tcW w:w="37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与管理层沟通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6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1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1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07" w:type="dxa"/>
            <w:gridSpan w:val="3"/>
          </w:tcPr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0</w:t>
      </w:r>
      <w:r>
        <w:rPr>
          <w:rFonts w:hint="eastAsia" w:ascii="宋体" w:hAnsi="宋体"/>
          <w:b/>
          <w:sz w:val="18"/>
          <w:szCs w:val="18"/>
        </w:rPr>
        <w:t>：4.1、4.2、4.3、4.4、5.2、5.3、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5.4、</w:t>
      </w:r>
      <w:r>
        <w:rPr>
          <w:rFonts w:hint="eastAsia" w:ascii="宋体" w:hAnsi="宋体"/>
          <w:b/>
          <w:sz w:val="18"/>
          <w:szCs w:val="18"/>
        </w:rPr>
        <w:t xml:space="preserve">6.1、6.2、8.1、8.2、9.1、9.2、9.3、10.2、10.3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1440" w:right="1083" w:bottom="1440" w:left="1083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874D6D"/>
    <w:rsid w:val="25C56C4F"/>
    <w:rsid w:val="37C30995"/>
    <w:rsid w:val="3A4D03EB"/>
    <w:rsid w:val="4398178F"/>
    <w:rsid w:val="49E5110D"/>
    <w:rsid w:val="50C76283"/>
    <w:rsid w:val="56043942"/>
    <w:rsid w:val="6A705BE5"/>
    <w:rsid w:val="73F007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18</TotalTime>
  <ScaleCrop>false</ScaleCrop>
  <LinksUpToDate>false</LinksUpToDate>
  <CharactersWithSpaces>1223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2020-09-03T13:33:56Z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