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受审核方：山东中恒景新碳纤维科技发展有限公司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129"/>
        <w:gridCol w:w="1150"/>
        <w:gridCol w:w="2560"/>
        <w:gridCol w:w="689"/>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129" w:type="dxa"/>
            <w:vAlign w:val="center"/>
          </w:tcPr>
          <w:p>
            <w:pPr>
              <w:jc w:val="center"/>
              <w:rPr>
                <w:b/>
                <w:sz w:val="21"/>
                <w:szCs w:val="21"/>
              </w:rPr>
            </w:pPr>
            <w:r>
              <w:rPr>
                <w:rFonts w:hint="eastAsia"/>
                <w:b/>
                <w:sz w:val="21"/>
                <w:szCs w:val="21"/>
              </w:rPr>
              <w:t>职务</w:t>
            </w:r>
          </w:p>
        </w:tc>
        <w:tc>
          <w:tcPr>
            <w:tcW w:w="1150" w:type="dxa"/>
            <w:vAlign w:val="center"/>
          </w:tcPr>
          <w:p>
            <w:pPr>
              <w:jc w:val="center"/>
              <w:rPr>
                <w:b/>
                <w:sz w:val="21"/>
                <w:szCs w:val="21"/>
              </w:rPr>
            </w:pPr>
            <w:r>
              <w:rPr>
                <w:rFonts w:hint="eastAsia"/>
                <w:b/>
                <w:sz w:val="21"/>
                <w:szCs w:val="21"/>
              </w:rPr>
              <w:t>注册级别</w:t>
            </w:r>
          </w:p>
        </w:tc>
        <w:tc>
          <w:tcPr>
            <w:tcW w:w="2560" w:type="dxa"/>
            <w:vAlign w:val="center"/>
          </w:tcPr>
          <w:p>
            <w:pPr>
              <w:jc w:val="center"/>
              <w:rPr>
                <w:b/>
                <w:sz w:val="21"/>
                <w:szCs w:val="21"/>
              </w:rPr>
            </w:pPr>
            <w:r>
              <w:rPr>
                <w:rFonts w:hint="eastAsia"/>
                <w:b/>
                <w:sz w:val="21"/>
                <w:szCs w:val="21"/>
              </w:rPr>
              <w:t>审核员注册号</w:t>
            </w:r>
          </w:p>
        </w:tc>
        <w:tc>
          <w:tcPr>
            <w:tcW w:w="1424"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129" w:type="dxa"/>
            <w:vAlign w:val="center"/>
          </w:tcPr>
          <w:p>
            <w:pPr>
              <w:jc w:val="center"/>
              <w:rPr>
                <w:b/>
                <w:sz w:val="21"/>
                <w:szCs w:val="21"/>
              </w:rPr>
            </w:pPr>
            <w:r>
              <w:rPr>
                <w:b/>
                <w:sz w:val="21"/>
                <w:szCs w:val="21"/>
              </w:rPr>
              <w:t>组长</w:t>
            </w:r>
          </w:p>
        </w:tc>
        <w:tc>
          <w:tcPr>
            <w:tcW w:w="1150"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p>
            <w:pPr>
              <w:jc w:val="center"/>
              <w:rPr>
                <w:b/>
                <w:sz w:val="21"/>
                <w:szCs w:val="21"/>
              </w:rPr>
            </w:pPr>
            <w:r>
              <w:rPr>
                <w:b/>
                <w:sz w:val="21"/>
                <w:szCs w:val="21"/>
              </w:rPr>
              <w:t>Q:审核员</w:t>
            </w:r>
          </w:p>
        </w:tc>
        <w:tc>
          <w:tcPr>
            <w:tcW w:w="2560" w:type="dxa"/>
            <w:vAlign w:val="center"/>
          </w:tcPr>
          <w:p>
            <w:pPr>
              <w:jc w:val="center"/>
              <w:rPr>
                <w:b/>
                <w:sz w:val="21"/>
                <w:szCs w:val="21"/>
              </w:rPr>
            </w:pPr>
            <w:r>
              <w:rPr>
                <w:b/>
                <w:sz w:val="21"/>
                <w:szCs w:val="21"/>
              </w:rPr>
              <w:t>2018-N1EMS-1222792</w:t>
            </w:r>
          </w:p>
          <w:p>
            <w:pPr>
              <w:jc w:val="center"/>
              <w:rPr>
                <w:b/>
                <w:sz w:val="21"/>
                <w:szCs w:val="21"/>
              </w:rPr>
            </w:pPr>
            <w:r>
              <w:rPr>
                <w:b/>
                <w:sz w:val="21"/>
                <w:szCs w:val="21"/>
              </w:rPr>
              <w:t>2018-N1OHSMS-1222792</w:t>
            </w:r>
          </w:p>
          <w:p>
            <w:pPr>
              <w:jc w:val="center"/>
              <w:rPr>
                <w:b/>
                <w:sz w:val="21"/>
                <w:szCs w:val="21"/>
              </w:rPr>
            </w:pPr>
            <w:r>
              <w:rPr>
                <w:b/>
                <w:sz w:val="21"/>
                <w:szCs w:val="21"/>
              </w:rPr>
              <w:t>2018-N1QMS-1222792</w:t>
            </w:r>
          </w:p>
        </w:tc>
        <w:tc>
          <w:tcPr>
            <w:tcW w:w="1424" w:type="dxa"/>
            <w:gridSpan w:val="2"/>
            <w:vAlign w:val="center"/>
          </w:tcPr>
          <w:p>
            <w:pPr>
              <w:jc w:val="both"/>
              <w:rPr>
                <w:rFonts w:hint="eastAsia"/>
                <w:b/>
                <w:sz w:val="21"/>
                <w:szCs w:val="21"/>
              </w:rPr>
            </w:pPr>
            <w:r>
              <w:rPr>
                <w:rFonts w:hint="eastAsia"/>
                <w:b/>
                <w:sz w:val="21"/>
                <w:szCs w:val="21"/>
              </w:rPr>
              <w:t>O：15.06.02</w:t>
            </w:r>
          </w:p>
          <w:p>
            <w:pPr>
              <w:jc w:val="both"/>
              <w:rPr>
                <w:rFonts w:hint="eastAsia"/>
                <w:b/>
                <w:sz w:val="21"/>
                <w:szCs w:val="21"/>
              </w:rPr>
            </w:pPr>
            <w:r>
              <w:rPr>
                <w:rFonts w:hint="eastAsia"/>
                <w:b/>
                <w:sz w:val="21"/>
                <w:szCs w:val="21"/>
              </w:rPr>
              <w:t>Q：15.06.02</w:t>
            </w:r>
          </w:p>
          <w:p>
            <w:pPr>
              <w:jc w:val="both"/>
              <w:rPr>
                <w:b/>
                <w:sz w:val="21"/>
                <w:szCs w:val="21"/>
              </w:rPr>
            </w:pPr>
            <w:r>
              <w:rPr>
                <w:rFonts w:hint="eastAsia" w:ascii="Times New Roman" w:hAnsi="Times New Roman" w:eastAsia="宋体" w:cs="Times New Roman"/>
                <w:b/>
                <w:sz w:val="21"/>
                <w:szCs w:val="21"/>
              </w:rPr>
              <w:t>E:</w:t>
            </w:r>
            <w:r>
              <w:rPr>
                <w:rFonts w:hint="eastAsia" w:ascii="Times New Roman" w:hAnsi="Times New Roman" w:eastAsia="宋体" w:cs="Times New Roman"/>
                <w:b/>
                <w:sz w:val="21"/>
                <w:szCs w:val="21"/>
                <w:lang w:val="en-US" w:eastAsia="zh-CN"/>
              </w:rPr>
              <w:t xml:space="preserve">  </w:t>
            </w:r>
            <w:r>
              <w:rPr>
                <w:rFonts w:hint="eastAsia" w:ascii="Times New Roman" w:hAnsi="Times New Roman" w:eastAsia="宋体" w:cs="Times New Roman"/>
                <w:b/>
                <w:sz w:val="21"/>
                <w:szCs w:val="21"/>
              </w:rPr>
              <w:t>29.12.00</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129" w:type="dxa"/>
          </w:tcPr>
          <w:p>
            <w:pPr>
              <w:rPr>
                <w:b/>
                <w:sz w:val="21"/>
                <w:szCs w:val="21"/>
              </w:rPr>
            </w:pPr>
          </w:p>
        </w:tc>
        <w:tc>
          <w:tcPr>
            <w:tcW w:w="1150" w:type="dxa"/>
          </w:tcPr>
          <w:p>
            <w:pPr>
              <w:rPr>
                <w:b/>
                <w:sz w:val="21"/>
                <w:szCs w:val="21"/>
              </w:rPr>
            </w:pPr>
          </w:p>
        </w:tc>
        <w:tc>
          <w:tcPr>
            <w:tcW w:w="2560" w:type="dxa"/>
          </w:tcPr>
          <w:p>
            <w:pPr>
              <w:rPr>
                <w:b/>
                <w:sz w:val="21"/>
                <w:szCs w:val="21"/>
              </w:rPr>
            </w:pPr>
          </w:p>
        </w:tc>
        <w:tc>
          <w:tcPr>
            <w:tcW w:w="1424"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129" w:type="dxa"/>
            <w:vAlign w:val="center"/>
          </w:tcPr>
          <w:p>
            <w:pPr>
              <w:jc w:val="center"/>
              <w:rPr>
                <w:b/>
                <w:sz w:val="21"/>
                <w:szCs w:val="21"/>
              </w:rPr>
            </w:pPr>
            <w:r>
              <w:rPr>
                <w:rFonts w:hint="eastAsia"/>
                <w:b/>
                <w:sz w:val="21"/>
                <w:szCs w:val="21"/>
              </w:rPr>
              <w:t>角色</w:t>
            </w:r>
          </w:p>
        </w:tc>
        <w:tc>
          <w:tcPr>
            <w:tcW w:w="686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129" w:type="dxa"/>
            <w:vAlign w:val="center"/>
          </w:tcPr>
          <w:p>
            <w:pPr>
              <w:jc w:val="center"/>
              <w:rPr>
                <w:b/>
                <w:sz w:val="21"/>
                <w:szCs w:val="21"/>
              </w:rPr>
            </w:pPr>
          </w:p>
        </w:tc>
        <w:tc>
          <w:tcPr>
            <w:tcW w:w="686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center" w:pos="4153"/>
          <w:tab w:val="right" w:pos="8306"/>
        </w:tabs>
        <w:snapToGrid w:val="0"/>
        <w:spacing w:line="276" w:lineRule="auto"/>
        <w:rPr>
          <w:b/>
          <w:sz w:val="20"/>
          <w:lang w:val="de-DE"/>
        </w:rPr>
      </w:pPr>
      <w:bookmarkStart w:id="8" w:name="S勾选Add1"/>
      <w:r>
        <w:rPr>
          <w:rFonts w:hint="eastAsia"/>
          <w:b/>
          <w:sz w:val="20"/>
          <w:lang w:val="de-DE"/>
        </w:rPr>
        <w:t>■ GB/T45001-2020 / ISO45001：2018标准</w:t>
      </w:r>
    </w:p>
    <w:bookmarkEnd w:id="8"/>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center"/>
          </w:tcPr>
          <w:p>
            <w:pPr>
              <w:spacing w:line="260" w:lineRule="exact"/>
              <w:jc w:val="center"/>
              <w:rPr>
                <w:rFonts w:ascii="宋体"/>
                <w:b/>
                <w:color w:val="FF0000"/>
                <w:sz w:val="21"/>
              </w:rPr>
            </w:pPr>
            <w:bookmarkStart w:id="9" w:name="组织名称Add"/>
            <w:r>
              <w:rPr>
                <w:rFonts w:hint="eastAsia" w:ascii="宋体" w:hAnsi="宋体" w:eastAsia="宋体" w:cs="Times New Roman"/>
                <w:b/>
                <w:sz w:val="21"/>
                <w:szCs w:val="22"/>
              </w:rPr>
              <w:t>山东中恒景新碳纤维科技发展有限公司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500"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vAlign w:val="center"/>
          </w:tcPr>
          <w:p>
            <w:pPr>
              <w:jc w:val="center"/>
              <w:rPr>
                <w:rFonts w:ascii="宋体"/>
                <w:b/>
                <w:sz w:val="21"/>
              </w:rPr>
            </w:pPr>
            <w:bookmarkStart w:id="10" w:name="注册地址"/>
            <w:r>
              <w:rPr>
                <w:rFonts w:ascii="宋体"/>
                <w:b/>
                <w:sz w:val="21"/>
              </w:rPr>
              <w:t>山东省德州市齐河县齐鲁高新技术开发区</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Align w:val="center"/>
          </w:tcPr>
          <w:p>
            <w:pPr>
              <w:jc w:val="center"/>
              <w:rPr>
                <w:rFonts w:ascii="宋体"/>
                <w:b/>
                <w:sz w:val="21"/>
              </w:rPr>
            </w:pPr>
            <w:bookmarkStart w:id="11" w:name="注册邮编"/>
            <w:r>
              <w:rPr>
                <w:rFonts w:ascii="宋体"/>
                <w:b/>
                <w:sz w:val="21"/>
              </w:rPr>
              <w:t>25110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vAlign w:val="center"/>
          </w:tcPr>
          <w:p>
            <w:pPr>
              <w:jc w:val="center"/>
              <w:rPr>
                <w:rFonts w:ascii="宋体"/>
                <w:b/>
                <w:sz w:val="21"/>
              </w:rPr>
            </w:pPr>
            <w:bookmarkStart w:id="12" w:name="办公地址"/>
            <w:r>
              <w:rPr>
                <w:rFonts w:ascii="宋体"/>
                <w:b/>
                <w:sz w:val="21"/>
              </w:rPr>
              <w:t>山东省德州市齐河县齐鲁高新技术开发区</w:t>
            </w:r>
            <w:bookmarkEnd w:id="12"/>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3" w:name="办公邮编"/>
            <w:r>
              <w:rPr>
                <w:rFonts w:ascii="宋体"/>
                <w:b/>
                <w:sz w:val="21"/>
              </w:rPr>
              <w:t>251100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vAlign w:val="center"/>
          </w:tcPr>
          <w:p>
            <w:pPr>
              <w:jc w:val="center"/>
              <w:rPr>
                <w:rFonts w:ascii="宋体"/>
                <w:b/>
                <w:sz w:val="21"/>
              </w:rPr>
            </w:pPr>
            <w:bookmarkStart w:id="14" w:name="生产地址Add"/>
            <w:r>
              <w:rPr>
                <w:rFonts w:ascii="宋体"/>
                <w:b/>
                <w:sz w:val="21"/>
              </w:rPr>
              <w:t>山东省德州市齐河县齐鲁高新技术开发区</w:t>
            </w:r>
            <w:bookmarkEnd w:id="14"/>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5" w:name="生产邮编"/>
            <w:r>
              <w:rPr>
                <w:rFonts w:ascii="宋体"/>
                <w:b/>
                <w:sz w:val="21"/>
              </w:rPr>
              <w:t>251100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center"/>
          </w:tcPr>
          <w:p>
            <w:pPr>
              <w:jc w:val="center"/>
              <w:rPr>
                <w:rFonts w:ascii="宋体"/>
                <w:b/>
                <w:sz w:val="21"/>
              </w:rPr>
            </w:pPr>
            <w:r>
              <w:rPr>
                <w:rFonts w:ascii="宋体"/>
                <w:b/>
                <w:sz w:val="21"/>
              </w:rPr>
              <w:t>张乃鑫</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0534-8124969</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vAlign w:val="center"/>
          </w:tcPr>
          <w:p>
            <w:pPr>
              <w:jc w:val="cente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sz w:val="21"/>
                <w:szCs w:val="21"/>
              </w:rPr>
            </w:pPr>
            <w:bookmarkStart w:id="18" w:name="法人"/>
            <w:r>
              <w:rPr>
                <w:rFonts w:ascii="宋体" w:hAnsi="宋体"/>
                <w:b/>
                <w:sz w:val="21"/>
                <w:szCs w:val="21"/>
              </w:rPr>
              <w:t>吕明迪</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ascii="宋体"/>
                <w:b/>
                <w:sz w:val="21"/>
              </w:rPr>
            </w:pPr>
            <w:bookmarkStart w:id="19" w:name="管理者代表"/>
            <w:r>
              <w:rPr>
                <w:rFonts w:ascii="宋体"/>
                <w:b/>
                <w:sz w:val="21"/>
              </w:rPr>
              <w:t>张乃鑫</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jc w:val="center"/>
              <w:rPr>
                <w:rFonts w:ascii="宋体" w:hAnsi="宋体"/>
                <w:b/>
                <w:sz w:val="21"/>
                <w:szCs w:val="21"/>
              </w:rPr>
            </w:pPr>
            <w:bookmarkStart w:id="20" w:name="审核日期"/>
            <w:r>
              <w:rPr>
                <w:rFonts w:ascii="宋体" w:hAnsi="宋体"/>
                <w:b/>
                <w:sz w:val="21"/>
                <w:szCs w:val="21"/>
              </w:rPr>
              <w:t>2020年08月29日 上午至2020年08月31日 下午</w:t>
            </w:r>
            <w:bookmarkEnd w:id="20"/>
          </w:p>
        </w:tc>
        <w:tc>
          <w:tcPr>
            <w:tcW w:w="1609" w:type="dxa"/>
            <w:vAlign w:val="center"/>
          </w:tcPr>
          <w:p>
            <w:pPr>
              <w:jc w:val="center"/>
              <w:rPr>
                <w:rFonts w:ascii="宋体" w:hAnsi="宋体"/>
                <w:b/>
                <w:sz w:val="21"/>
                <w:szCs w:val="21"/>
              </w:rPr>
            </w:pPr>
            <w:r>
              <w:rPr>
                <w:rFonts w:hint="eastAsia" w:ascii="宋体" w:hAnsi="宋体"/>
                <w:b/>
                <w:sz w:val="21"/>
                <w:szCs w:val="21"/>
              </w:rPr>
              <w:t>一体化审核</w:t>
            </w:r>
          </w:p>
        </w:tc>
        <w:tc>
          <w:tcPr>
            <w:tcW w:w="3181" w:type="dxa"/>
            <w:gridSpan w:val="3"/>
            <w:vAlign w:val="center"/>
          </w:tcPr>
          <w:p>
            <w:pPr>
              <w:jc w:val="cente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rFonts w:hint="eastAsia" w:ascii="宋体" w:hAnsi="宋体" w:eastAsia="宋体" w:cs="Times New Roman"/>
                <w:b/>
                <w:bCs/>
                <w:sz w:val="20"/>
                <w:szCs w:val="22"/>
              </w:rPr>
              <w:t>纤维复合材料产品（抽油杆及导线芯）生产和销售</w:t>
            </w:r>
            <w:bookmarkEnd w:id="22"/>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r>
              <w:rPr>
                <w:rFonts w:hint="eastAsia" w:ascii="宋体" w:hAnsi="宋体" w:eastAsia="宋体" w:cs="Times New Roman"/>
                <w:b/>
                <w:bCs/>
                <w:sz w:val="20"/>
                <w:szCs w:val="22"/>
              </w:rPr>
              <w:t>碳纤维复合材料产品（抽油杆及导线芯、无人机壳体及旋翼组件）销售及相关环境管理活动</w:t>
            </w:r>
          </w:p>
          <w:p>
            <w:pPr>
              <w:tabs>
                <w:tab w:val="center" w:pos="4153"/>
                <w:tab w:val="right" w:pos="8306"/>
              </w:tabs>
              <w:snapToGrid w:val="0"/>
              <w:ind w:left="-108"/>
              <w:rPr>
                <w:rFonts w:hint="eastAsia"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bookmarkStart w:id="25" w:name="审核范围"/>
            <w:r>
              <w:rPr>
                <w:rFonts w:hint="eastAsia" w:ascii="宋体" w:hAnsi="宋体" w:eastAsia="宋体" w:cs="Times New Roman"/>
                <w:b/>
                <w:bCs/>
                <w:sz w:val="20"/>
                <w:szCs w:val="22"/>
              </w:rPr>
              <w:t>纤维复合材料产品（抽油杆及导线芯）生产和销售相关职业健康安全管理活动</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O：15.06.02</w:t>
            </w:r>
          </w:p>
          <w:p>
            <w:pPr>
              <w:spacing w:line="260" w:lineRule="exact"/>
              <w:rPr>
                <w:rFonts w:ascii="宋体" w:hAnsi="宋体"/>
                <w:b/>
                <w:sz w:val="21"/>
                <w:szCs w:val="21"/>
              </w:rPr>
            </w:pPr>
            <w:r>
              <w:rPr>
                <w:rFonts w:ascii="宋体" w:hAnsi="宋体"/>
                <w:b/>
                <w:sz w:val="21"/>
                <w:szCs w:val="21"/>
              </w:rPr>
              <w:t>Q：15.06.02</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ind w:firstLine="422" w:firstLineChars="200"/>
              <w:rPr>
                <w:rFonts w:hint="eastAsia" w:ascii="宋体" w:hAnsi="宋体"/>
                <w:b/>
                <w:sz w:val="21"/>
                <w:szCs w:val="21"/>
                <w:lang w:val="en-US" w:eastAsia="zh-CN"/>
              </w:rPr>
            </w:pPr>
          </w:p>
          <w:p>
            <w:pPr>
              <w:spacing w:line="260" w:lineRule="exact"/>
              <w:ind w:firstLine="211" w:firstLineChars="100"/>
              <w:rPr>
                <w:rFonts w:hint="default" w:ascii="宋体" w:hAnsi="宋体" w:eastAsia="宋体"/>
                <w:b/>
                <w:sz w:val="21"/>
                <w:szCs w:val="21"/>
                <w:lang w:val="en-US" w:eastAsia="zh-CN"/>
              </w:rPr>
            </w:pPr>
            <w:r>
              <w:rPr>
                <w:rFonts w:hint="eastAsia" w:ascii="宋体" w:hAnsi="宋体"/>
                <w:b/>
                <w:sz w:val="21"/>
                <w:szCs w:val="21"/>
                <w:lang w:val="en-US" w:eastAsia="zh-CN"/>
              </w:rPr>
              <w:t>2022.9.4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b/>
                <w:sz w:val="21"/>
              </w:rPr>
            </w:pPr>
          </w:p>
          <w:p>
            <w:pPr>
              <w:spacing w:line="260" w:lineRule="exact"/>
              <w:rPr>
                <w:rFonts w:ascii="宋体"/>
                <w:b/>
                <w:sz w:val="21"/>
              </w:rPr>
            </w:pPr>
            <w:r>
              <w:rPr>
                <w:rFonts w:hint="eastAsia" w:ascii="宋体"/>
                <w:b/>
                <w:sz w:val="21"/>
              </w:rPr>
              <w:t>2019.8.18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31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rPr>
                <w:rFonts w:hint="eastAsia" w:ascii="宋体" w:hAnsi="宋体"/>
                <w:b w:val="0"/>
                <w:bCs/>
                <w:color w:val="FF0000"/>
                <w:sz w:val="21"/>
                <w:szCs w:val="21"/>
              </w:rPr>
            </w:pPr>
            <w:r>
              <w:rPr>
                <w:rFonts w:hint="eastAsia" w:ascii="宋体" w:hAnsi="宋体" w:cs="宋体"/>
                <w:sz w:val="21"/>
                <w:szCs w:val="21"/>
              </w:rPr>
              <w:t>公司推行管理体系的目的就是提高公司市场准入能力。总经理确定与本公司管理目标和战略方向相关并影响实现管理体系预期结果的各种内部因素如公司的价值观、文化、知识、绩效等相关因素等和外部因素如国际、国家、地区和当地的各种法律法规、技术、竞争、文化和社会因素等这些因素包括了需要考虑的正面和负面因素或条件。公司每年</w:t>
            </w:r>
            <w:r>
              <w:rPr>
                <w:rFonts w:hint="eastAsia" w:ascii="宋体" w:hAnsi="宋体" w:cs="宋体"/>
                <w:sz w:val="21"/>
                <w:szCs w:val="21"/>
                <w:lang w:eastAsia="zh-CN"/>
              </w:rPr>
              <w:t>综合部</w:t>
            </w:r>
            <w:r>
              <w:rPr>
                <w:rFonts w:hint="eastAsia" w:ascii="宋体" w:hAnsi="宋体" w:cs="宋体"/>
                <w:sz w:val="21"/>
                <w:szCs w:val="21"/>
              </w:rPr>
              <w:t>根据由公司生产人员从市场、客户、网络等搜集到的信息并结合公司自身业务运作情况进行分析，通过分析对这些内部和外部因素的相关信息进行监视和评审以确保其充分和适宜</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spacing w:line="360" w:lineRule="auto"/>
              <w:rPr>
                <w:rFonts w:hint="eastAsia" w:ascii="宋体" w:hAnsi="宋体" w:cs="宋体"/>
                <w:sz w:val="21"/>
                <w:szCs w:val="21"/>
              </w:rPr>
            </w:pPr>
            <w:r>
              <w:rPr>
                <w:rFonts w:hint="eastAsia" w:ascii="宋体" w:hAnsi="宋体" w:cs="宋体"/>
                <w:sz w:val="21"/>
                <w:szCs w:val="21"/>
              </w:rPr>
              <w:t>提供了相关方需求和期望一览表，调查分析基本齐全，确定了优先考虑的顺序。</w:t>
            </w:r>
          </w:p>
          <w:p>
            <w:pPr>
              <w:spacing w:line="360" w:lineRule="auto"/>
              <w:rPr>
                <w:rFonts w:ascii="宋体" w:hAnsi="宋体"/>
                <w:b/>
                <w:sz w:val="21"/>
                <w:szCs w:val="21"/>
              </w:rPr>
            </w:pPr>
            <w:r>
              <w:rPr>
                <w:rFonts w:hint="eastAsia" w:ascii="宋体" w:hAnsi="宋体" w:cs="宋体"/>
                <w:sz w:val="21"/>
                <w:szCs w:val="21"/>
              </w:rPr>
              <w:t>管理层负责对上述调查项的动态监视和评审，因体系建立时间不长，未发生明显变化的情况。下次监督时进一步关注。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360" w:lineRule="auto"/>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w:t>
            </w:r>
          </w:p>
          <w:p>
            <w:pPr>
              <w:numPr>
                <w:ilvl w:val="0"/>
                <w:numId w:val="0"/>
              </w:numPr>
              <w:spacing w:line="360" w:lineRule="auto"/>
              <w:rPr>
                <w:rFonts w:hint="eastAsia" w:ascii="宋体" w:hAnsi="宋体"/>
                <w:b w:val="0"/>
                <w:bCs/>
                <w:sz w:val="21"/>
                <w:szCs w:val="21"/>
              </w:rPr>
            </w:pPr>
            <w:r>
              <w:rPr>
                <w:rFonts w:hint="eastAsia" w:ascii="宋体" w:hAnsi="宋体"/>
                <w:b w:val="0"/>
                <w:bCs/>
                <w:sz w:val="21"/>
                <w:szCs w:val="21"/>
              </w:rPr>
              <w:t>公司的方针是：</w:t>
            </w:r>
          </w:p>
          <w:p>
            <w:pPr>
              <w:spacing w:line="360" w:lineRule="auto"/>
              <w:rPr>
                <w:rFonts w:hint="eastAsia" w:ascii="宋体" w:hAnsi="宋体"/>
                <w:b w:val="0"/>
                <w:bCs/>
                <w:sz w:val="21"/>
                <w:szCs w:val="21"/>
              </w:rPr>
            </w:pPr>
            <w:r>
              <w:rPr>
                <w:rFonts w:hint="eastAsia" w:ascii="宋体" w:hAnsi="宋体"/>
                <w:b w:val="0"/>
                <w:bCs/>
                <w:sz w:val="21"/>
                <w:szCs w:val="21"/>
              </w:rPr>
              <w:t>完善管理，过程控制，不断持续改进；</w:t>
            </w:r>
          </w:p>
          <w:p>
            <w:pPr>
              <w:spacing w:line="360" w:lineRule="auto"/>
              <w:rPr>
                <w:rFonts w:hint="eastAsia" w:ascii="宋体" w:hAnsi="宋体"/>
                <w:b w:val="0"/>
                <w:bCs/>
                <w:sz w:val="21"/>
                <w:szCs w:val="21"/>
              </w:rPr>
            </w:pPr>
            <w:r>
              <w:rPr>
                <w:rFonts w:hint="eastAsia" w:ascii="宋体" w:hAnsi="宋体"/>
                <w:b w:val="0"/>
                <w:bCs/>
                <w:sz w:val="21"/>
                <w:szCs w:val="21"/>
              </w:rPr>
              <w:t>保护环境，节能降耗，创建绿色生产；</w:t>
            </w:r>
          </w:p>
          <w:p>
            <w:pPr>
              <w:spacing w:line="360" w:lineRule="auto"/>
              <w:rPr>
                <w:rFonts w:hint="eastAsia" w:ascii="宋体" w:hAnsi="宋体"/>
                <w:b w:val="0"/>
                <w:bCs/>
                <w:sz w:val="21"/>
                <w:szCs w:val="21"/>
              </w:rPr>
            </w:pPr>
            <w:r>
              <w:rPr>
                <w:rFonts w:hint="eastAsia" w:ascii="宋体" w:hAnsi="宋体"/>
                <w:b w:val="0"/>
                <w:bCs/>
                <w:sz w:val="21"/>
                <w:szCs w:val="21"/>
              </w:rPr>
              <w:t>以人为本，遵纪守法，安全健康至上。</w:t>
            </w:r>
          </w:p>
          <w:p>
            <w:pPr>
              <w:spacing w:line="360" w:lineRule="auto"/>
              <w:rPr>
                <w:rFonts w:ascii="宋体" w:hAnsi="宋体"/>
                <w:b/>
                <w:sz w:val="21"/>
                <w:szCs w:val="21"/>
              </w:rPr>
            </w:pPr>
            <w:r>
              <w:rPr>
                <w:rFonts w:hint="eastAsia" w:ascii="宋体" w:hAnsi="宋体"/>
                <w:b w:val="0"/>
                <w:bCs/>
                <w:sz w:val="21"/>
                <w:szCs w:val="21"/>
              </w:rPr>
              <w:t>管理方针在内部适当的沟通，管理评审时进行了评审，方针适宜。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360" w:lineRule="auto"/>
              <w:ind w:leftChars="0"/>
              <w:rPr>
                <w:rFonts w:ascii="宋体" w:hAnsi="宋体"/>
                <w:b/>
                <w:sz w:val="21"/>
                <w:szCs w:val="21"/>
              </w:rPr>
            </w:pPr>
            <w:r>
              <w:rPr>
                <w:rFonts w:hint="eastAsia"/>
                <w:sz w:val="21"/>
                <w:szCs w:val="21"/>
                <w:u w:val="none"/>
              </w:rPr>
              <w:t>编制了《风险和机遇评估分析表》，风险和机遇及应对的措施策划适当符合要求。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b w:val="0"/>
                <w:bCs/>
                <w:sz w:val="20"/>
                <w:szCs w:val="22"/>
                <w:u w:val="single"/>
              </w:rPr>
              <w:t>拉挤成型</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u w:val="single"/>
              </w:rPr>
              <w:t xml:space="preserve">  </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ascii="宋体" w:hAnsi="宋体"/>
                <w:b w:val="0"/>
                <w:bCs/>
                <w:color w:val="000000" w:themeColor="text1"/>
                <w:sz w:val="20"/>
                <w:szCs w:val="20"/>
                <w:u w:val="single"/>
              </w:rPr>
              <w:t xml:space="preserve"> </w:t>
            </w:r>
            <w:r>
              <w:rPr>
                <w:rFonts w:hint="eastAsia"/>
                <w:b w:val="0"/>
                <w:bCs/>
                <w:sz w:val="20"/>
                <w:szCs w:val="22"/>
                <w:u w:val="single"/>
              </w:rPr>
              <w:t>拉挤成型</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u w:val="single"/>
              </w:rPr>
              <w:t xml:space="preserve">   </w:t>
            </w:r>
          </w:p>
          <w:p>
            <w:pPr>
              <w:tabs>
                <w:tab w:val="left" w:pos="540"/>
              </w:tabs>
              <w:spacing w:line="360" w:lineRule="auto"/>
              <w:ind w:left="201" w:hanging="201" w:hangingChars="100"/>
              <w:rPr>
                <w:rFonts w:ascii="宋体" w:hAnsi="宋体"/>
                <w:b/>
                <w:sz w:val="21"/>
                <w:szCs w:val="21"/>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u w:val="single"/>
              </w:rPr>
              <w:t xml:space="preserve">8.3 </w:t>
            </w:r>
            <w:r>
              <w:rPr>
                <w:rFonts w:hint="eastAsia" w:ascii="宋体" w:hAnsi="宋体"/>
                <w:color w:val="000000" w:themeColor="text1"/>
                <w:sz w:val="20"/>
                <w:szCs w:val="20"/>
                <w:u w:val="single"/>
              </w:rPr>
              <w:t xml:space="preserve">  </w:t>
            </w:r>
            <w:r>
              <w:rPr>
                <w:rFonts w:hint="eastAsia" w:ascii="宋体" w:hAnsi="宋体"/>
                <w:b/>
                <w:color w:val="000000" w:themeColor="text1"/>
                <w:sz w:val="20"/>
                <w:szCs w:val="20"/>
              </w:rPr>
              <w:t xml:space="preserve">，不适用理由： </w:t>
            </w:r>
            <w:r>
              <w:rPr>
                <w:rFonts w:hint="eastAsia" w:ascii="宋体" w:hAnsi="宋体"/>
                <w:color w:val="000000" w:themeColor="text1"/>
                <w:sz w:val="20"/>
                <w:szCs w:val="20"/>
                <w:u w:val="single"/>
              </w:rPr>
              <w:t xml:space="preserve"> </w:t>
            </w:r>
            <w:bookmarkStart w:id="27" w:name="_GoBack"/>
            <w:bookmarkEnd w:id="27"/>
            <w:r>
              <w:rPr>
                <w:rFonts w:hint="eastAsia" w:ascii="宋体" w:hAnsi="宋体"/>
                <w:color w:val="000000" w:themeColor="text1"/>
                <w:sz w:val="20"/>
                <w:szCs w:val="20"/>
                <w:u w:val="single"/>
              </w:rPr>
              <w:t>按照国标/行标和客户要求生产销售，不需再进行设计开发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hint="eastAsia" w:ascii="宋体" w:hAnsi="宋体"/>
                <w:b w:val="0"/>
                <w:bCs/>
                <w:sz w:val="21"/>
                <w:szCs w:val="21"/>
              </w:rPr>
            </w:pPr>
            <w:r>
              <w:rPr>
                <w:rFonts w:hint="eastAsia" w:ascii="宋体" w:hAnsi="宋体"/>
                <w:b w:val="0"/>
                <w:bCs/>
                <w:sz w:val="21"/>
                <w:szCs w:val="21"/>
              </w:rPr>
              <w:t>识别了办公、销售、质检等过程的环境因素，动态更新，评价出的重要环境因素包括：固体废弃物排放、火灾事故的发生等。</w:t>
            </w:r>
          </w:p>
          <w:p>
            <w:pPr>
              <w:spacing w:line="360" w:lineRule="auto"/>
              <w:rPr>
                <w:rFonts w:hint="eastAsia" w:ascii="宋体" w:hAnsi="宋体"/>
                <w:b w:val="0"/>
                <w:bCs/>
                <w:sz w:val="21"/>
                <w:szCs w:val="21"/>
              </w:rPr>
            </w:pPr>
            <w:r>
              <w:rPr>
                <w:rFonts w:hint="eastAsia" w:ascii="宋体" w:hAnsi="宋体"/>
                <w:b w:val="0"/>
                <w:bCs/>
                <w:sz w:val="21"/>
                <w:szCs w:val="21"/>
              </w:rPr>
              <w:t>在采购、销售、质检、仓储、运输、交付、日常办公等过程能使用生命周期观点和方法识别环境因素并加以管理。</w:t>
            </w:r>
          </w:p>
          <w:p>
            <w:pPr>
              <w:spacing w:line="360" w:lineRule="auto"/>
              <w:rPr>
                <w:rFonts w:ascii="宋体" w:hAnsi="宋体"/>
                <w:b/>
                <w:sz w:val="21"/>
                <w:szCs w:val="21"/>
              </w:rPr>
            </w:pPr>
            <w:r>
              <w:rPr>
                <w:rFonts w:hint="eastAsia" w:ascii="宋体" w:hAnsi="宋体"/>
                <w:b w:val="0"/>
                <w:bCs/>
                <w:sz w:val="21"/>
                <w:szCs w:val="21"/>
              </w:rPr>
              <w:t>公司通过制定目标、管理方案、应急预案、日常检查与控制等方法，对环境因素进行控制，同时针对重要环境因素、风险和机遇及环境目标，制定了措施方案。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360" w:lineRule="auto"/>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360" w:lineRule="auto"/>
              <w:rPr>
                <w:rFonts w:hint="eastAsia" w:ascii="宋体" w:hAnsi="宋体"/>
                <w:b w:val="0"/>
                <w:bCs/>
                <w:sz w:val="21"/>
                <w:szCs w:val="21"/>
              </w:rPr>
            </w:pPr>
            <w:r>
              <w:rPr>
                <w:rFonts w:hint="eastAsia" w:ascii="宋体" w:hAnsi="宋体"/>
                <w:b w:val="0"/>
                <w:bCs/>
                <w:sz w:val="21"/>
                <w:szCs w:val="21"/>
              </w:rPr>
              <w:t>识别了办公、生产、质检等过程的危险源，动态更新，确定的不可接受风险包括：火灾、机械伤害、烫伤、触电等。</w:t>
            </w:r>
          </w:p>
          <w:p>
            <w:pPr>
              <w:spacing w:line="360" w:lineRule="auto"/>
              <w:rPr>
                <w:rFonts w:hint="eastAsia" w:ascii="宋体" w:hAnsi="宋体"/>
                <w:b w:val="0"/>
                <w:bCs/>
                <w:sz w:val="21"/>
                <w:szCs w:val="21"/>
              </w:rPr>
            </w:pPr>
            <w:r>
              <w:rPr>
                <w:rFonts w:hint="eastAsia" w:ascii="宋体" w:hAnsi="宋体"/>
                <w:b w:val="0"/>
                <w:bCs/>
                <w:sz w:val="21"/>
                <w:szCs w:val="21"/>
              </w:rPr>
              <w:t>公司通过制定目标、管理方案、应急预案、日常检查与控制等方法，对危险源、不可接受风险进行控制，针对不可接受风险、职业健康安全目标，制了措施方案。</w:t>
            </w:r>
          </w:p>
          <w:p>
            <w:pPr>
              <w:spacing w:line="360" w:lineRule="auto"/>
              <w:rPr>
                <w:rFonts w:ascii="宋体" w:hAnsi="宋体"/>
                <w:b/>
                <w:sz w:val="21"/>
                <w:szCs w:val="21"/>
              </w:rPr>
            </w:pPr>
            <w:r>
              <w:rPr>
                <w:rFonts w:hint="eastAsia" w:ascii="宋体" w:hAnsi="宋体"/>
                <w:b w:val="0"/>
                <w:bCs/>
                <w:sz w:val="21"/>
                <w:szCs w:val="21"/>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4"/>
              <w:numPr>
                <w:ilvl w:val="0"/>
                <w:numId w:val="3"/>
              </w:numPr>
              <w:tabs>
                <w:tab w:val="left" w:pos="540"/>
              </w:tabs>
              <w:spacing w:line="360" w:lineRule="auto"/>
              <w:ind w:firstLineChars="0"/>
              <w:rPr>
                <w:rFonts w:hint="eastAsia"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szCs w:val="21"/>
                <w:u w:val="single"/>
              </w:rPr>
              <w:t>公司通过培训、会议等方式向有关员工传达法律、法规及其它要求的相关要求。</w:t>
            </w:r>
          </w:p>
          <w:p>
            <w:pPr>
              <w:pStyle w:val="14"/>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szCs w:val="21"/>
                <w:u w:val="single"/>
              </w:rPr>
              <w:t>为最新版本，每年更新一次。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5. 目标、方案</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（在相关层次上建立可测量的目标，目标、方案的有效性，对质量目标的实现情况进行评价并叙述测量方法）</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质量目标：1、产品一次交验合格率95%；</w:t>
            </w:r>
          </w:p>
          <w:p>
            <w:pPr>
              <w:spacing w:line="360" w:lineRule="auto"/>
              <w:ind w:firstLine="1050" w:firstLineChars="500"/>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2、原材料采购合格率95%以上；</w:t>
            </w:r>
          </w:p>
          <w:p>
            <w:pPr>
              <w:spacing w:line="360" w:lineRule="auto"/>
              <w:ind w:firstLine="1050" w:firstLineChars="500"/>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3、顾客满意度达到95%以上。</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公司环境目标：</w:t>
            </w:r>
          </w:p>
          <w:p>
            <w:pPr>
              <w:spacing w:line="360" w:lineRule="auto"/>
              <w:ind w:firstLine="1050" w:firstLineChars="500"/>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lang w:val="en-US" w:eastAsia="zh-CN"/>
              </w:rPr>
              <w:t>1、</w:t>
            </w:r>
            <w:r>
              <w:rPr>
                <w:rFonts w:hint="eastAsia" w:ascii="宋体" w:hAnsi="宋体" w:eastAsia="宋体" w:cs="宋体"/>
                <w:b w:val="0"/>
                <w:bCs/>
                <w:color w:val="000000" w:themeColor="text1"/>
                <w:sz w:val="21"/>
                <w:szCs w:val="21"/>
              </w:rPr>
              <w:t>固体废弃物100%进行分类处理；</w:t>
            </w:r>
          </w:p>
          <w:p>
            <w:pPr>
              <w:spacing w:line="360" w:lineRule="auto"/>
              <w:ind w:firstLine="1050" w:firstLineChars="500"/>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lang w:val="en-US" w:eastAsia="zh-CN"/>
              </w:rPr>
              <w:t>2、</w:t>
            </w:r>
            <w:r>
              <w:rPr>
                <w:rFonts w:hint="eastAsia" w:ascii="宋体" w:hAnsi="宋体" w:eastAsia="宋体" w:cs="宋体"/>
                <w:b w:val="0"/>
                <w:bCs/>
                <w:color w:val="000000" w:themeColor="text1"/>
                <w:sz w:val="21"/>
                <w:szCs w:val="21"/>
              </w:rPr>
              <w:t xml:space="preserve">不发生环境污染事件。 </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安全目标：</w:t>
            </w:r>
          </w:p>
          <w:p>
            <w:pPr>
              <w:spacing w:line="360" w:lineRule="auto"/>
              <w:ind w:firstLine="1050" w:firstLineChars="500"/>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1、每年轻伤事件不超过1次；</w:t>
            </w:r>
          </w:p>
          <w:p>
            <w:pPr>
              <w:spacing w:line="360" w:lineRule="auto"/>
              <w:ind w:firstLine="1050" w:firstLineChars="500"/>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2、无职业病发生。</w:t>
            </w:r>
          </w:p>
          <w:p>
            <w:pPr>
              <w:spacing w:line="360" w:lineRule="auto"/>
              <w:rPr>
                <w:rFonts w:hint="eastAsia" w:ascii="宋体" w:hAnsi="宋体" w:eastAsia="宋体" w:cs="宋体"/>
                <w:sz w:val="21"/>
                <w:szCs w:val="21"/>
                <w:u w:val="none"/>
              </w:rPr>
            </w:pPr>
            <w:r>
              <w:rPr>
                <w:rFonts w:hint="eastAsia" w:ascii="宋体" w:hAnsi="宋体" w:eastAsia="宋体" w:cs="宋体"/>
                <w:sz w:val="21"/>
                <w:szCs w:val="21"/>
                <w:u w:val="none"/>
              </w:rPr>
              <w:t>提供 “目标分解与考核表”、“管理方案”等。目标已分解到各部门，经考核能达到目标要求。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60" w:lineRule="auto"/>
              <w:rPr>
                <w:rFonts w:ascii="宋体" w:hAnsi="宋体"/>
                <w:b/>
                <w:sz w:val="21"/>
                <w:szCs w:val="21"/>
              </w:rPr>
            </w:pPr>
            <w:r>
              <w:rPr>
                <w:rFonts w:hint="eastAsia" w:ascii="宋体" w:hAnsi="宋体"/>
                <w:b w:val="0"/>
                <w:bCs/>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编制了人力资源管理程序，制定培训计划，定期组织相关培训，能满足上岗要求。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hAnsi="宋体"/>
                <w:b w:val="0"/>
                <w:bCs/>
                <w:sz w:val="21"/>
                <w:szCs w:val="21"/>
              </w:rPr>
              <w:t>主要设备有：牵引机、收卷机、缠绕机、UPS、主控台、电脑、打印机、网络、电话等设施设备。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rPr>
                <w:rFonts w:ascii="宋体" w:hAnsi="宋体"/>
                <w:b/>
                <w:sz w:val="21"/>
                <w:szCs w:val="21"/>
              </w:rPr>
            </w:pPr>
            <w:r>
              <w:rPr>
                <w:rFonts w:hint="eastAsia" w:ascii="宋体" w:hAnsi="宋体"/>
                <w:b w:val="0"/>
                <w:bCs/>
                <w:sz w:val="21"/>
                <w:szCs w:val="21"/>
              </w:rPr>
              <w:t>产品生产过程对环境没有特殊要求，产品生产和办公环境干净、整洁。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rPr>
                <w:rFonts w:ascii="宋体" w:hAnsi="宋体"/>
                <w:b/>
                <w:sz w:val="21"/>
                <w:szCs w:val="21"/>
              </w:rPr>
            </w:pPr>
            <w:r>
              <w:rPr>
                <w:rFonts w:hint="eastAsia" w:ascii="宋体" w:hAnsi="宋体"/>
                <w:b w:val="0"/>
                <w:bCs/>
                <w:sz w:val="21"/>
                <w:szCs w:val="21"/>
              </w:rPr>
              <w:t>电子天平、洛氏硬度计、万能试验机、巴式硬度计、游标卡尺、千分尺，校准证书均在有效期内，无需环保和职业健康安全监视和测量资源。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spacing w:line="360" w:lineRule="auto"/>
              <w:rPr>
                <w:rFonts w:hint="eastAsia" w:ascii="宋体" w:hAnsi="宋体"/>
                <w:b w:val="0"/>
                <w:bCs/>
                <w:sz w:val="21"/>
                <w:szCs w:val="21"/>
              </w:rPr>
            </w:pPr>
            <w:r>
              <w:rPr>
                <w:rFonts w:hint="eastAsia" w:ascii="宋体" w:hAnsi="宋体"/>
                <w:b w:val="0"/>
                <w:bCs/>
                <w:sz w:val="21"/>
                <w:szCs w:val="21"/>
              </w:rPr>
              <w:t xml:space="preserve">a）内部来源：知识产权；经历；从失败和成功项目得到的经验教训；得到和分享未形成文件的知识和经验，过程、产品和服务的改进结果； </w:t>
            </w:r>
          </w:p>
          <w:p>
            <w:pPr>
              <w:spacing w:line="360" w:lineRule="auto"/>
              <w:rPr>
                <w:rFonts w:ascii="宋体" w:hAnsi="宋体"/>
                <w:b/>
                <w:sz w:val="21"/>
                <w:szCs w:val="21"/>
              </w:rPr>
            </w:pPr>
            <w:r>
              <w:rPr>
                <w:rFonts w:hint="eastAsia" w:ascii="宋体" w:hAnsi="宋体"/>
                <w:b w:val="0"/>
                <w:bCs/>
                <w:sz w:val="21"/>
                <w:szCs w:val="21"/>
              </w:rPr>
              <w:t>b）外部来源：标准；学术交流；专业会议；从顾客或外部供方收集的知识。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rPr>
                <w:rFonts w:ascii="宋体" w:hAnsi="宋体"/>
                <w:b/>
                <w:sz w:val="21"/>
                <w:szCs w:val="21"/>
              </w:rPr>
            </w:pPr>
            <w:r>
              <w:rPr>
                <w:rFonts w:hint="eastAsia" w:ascii="宋体" w:hAnsi="宋体"/>
                <w:b w:val="0"/>
                <w:bCs/>
                <w:sz w:val="21"/>
                <w:szCs w:val="21"/>
              </w:rPr>
              <w:t>分类垃圾桶。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职业健康安全设施：</w:t>
            </w:r>
          </w:p>
          <w:p>
            <w:pPr>
              <w:spacing w:line="360" w:lineRule="auto"/>
              <w:rPr>
                <w:rFonts w:ascii="宋体" w:hAnsi="宋体"/>
                <w:b/>
                <w:sz w:val="21"/>
                <w:szCs w:val="21"/>
              </w:rPr>
            </w:pPr>
            <w:r>
              <w:rPr>
                <w:rFonts w:hint="eastAsia" w:asciiTheme="minorEastAsia" w:hAnsiTheme="minorEastAsia" w:eastAsiaTheme="minorEastAsia"/>
                <w:sz w:val="21"/>
                <w:szCs w:val="21"/>
                <w:u w:val="none"/>
              </w:rPr>
              <w:t>配有消防栓、劳保用品</w:t>
            </w:r>
            <w:r>
              <w:rPr>
                <w:rFonts w:hint="eastAsia" w:asciiTheme="minorEastAsia" w:hAnsiTheme="minorEastAsia" w:eastAsiaTheme="minorEastAsia"/>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rPr>
                <w:rFonts w:ascii="宋体" w:hAnsi="宋体"/>
                <w:b/>
                <w:sz w:val="21"/>
                <w:szCs w:val="21"/>
              </w:rPr>
            </w:pPr>
            <w:r>
              <w:rPr>
                <w:rFonts w:hint="eastAsia" w:ascii="宋体" w:hAnsi="宋体"/>
                <w:b w:val="0"/>
                <w:bCs/>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内部沟通的情况：内部沟通方式：</w:t>
            </w:r>
            <w:r>
              <w:rPr>
                <w:rFonts w:hint="eastAsia" w:ascii="宋体" w:hAnsi="宋体" w:eastAsia="宋体" w:cs="宋体"/>
                <w:sz w:val="21"/>
                <w:szCs w:val="21"/>
                <w:u w:val="single"/>
              </w:rPr>
              <w:t>培训、会议、宣传栏；</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                内部沟通的效果：</w:t>
            </w:r>
            <w:r>
              <w:rPr>
                <w:rFonts w:hint="eastAsia" w:ascii="宋体" w:hAnsi="宋体" w:eastAsia="宋体" w:cs="宋体"/>
                <w:sz w:val="21"/>
                <w:szCs w:val="21"/>
                <w:u w:val="single"/>
              </w:rPr>
              <w:t>沟通畅通；</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r>
              <w:rPr>
                <w:rFonts w:hint="eastAsia" w:ascii="宋体" w:hAnsi="宋体" w:eastAsia="宋体" w:cs="宋体"/>
                <w:sz w:val="21"/>
                <w:szCs w:val="21"/>
                <w:u w:val="single"/>
              </w:rPr>
              <w:t>参加相关部门组织的会议，接收相关部门下达的通知并在公司内部沟通传达。</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r>
              <w:rPr>
                <w:rFonts w:hint="eastAsia" w:ascii="宋体" w:hAnsi="宋体" w:eastAsia="宋体" w:cs="宋体"/>
                <w:sz w:val="21"/>
                <w:szCs w:val="21"/>
                <w:u w:val="single"/>
              </w:rPr>
              <w:t>参加外部组织的会议、学术、网络。</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r>
              <w:rPr>
                <w:rFonts w:hint="eastAsia" w:ascii="宋体" w:hAnsi="宋体" w:eastAsia="宋体" w:cs="宋体"/>
                <w:sz w:val="21"/>
                <w:szCs w:val="21"/>
                <w:u w:val="single"/>
              </w:rPr>
              <w:t>对相关方进行环保告知。</w:t>
            </w:r>
          </w:p>
          <w:p>
            <w:pPr>
              <w:spacing w:line="360" w:lineRule="auto"/>
              <w:rPr>
                <w:rFonts w:hint="default" w:ascii="宋体" w:hAnsi="宋体" w:eastAsia="宋体" w:cs="宋体"/>
                <w:b/>
                <w:color w:val="000000" w:themeColor="text1"/>
                <w:sz w:val="21"/>
                <w:szCs w:val="21"/>
                <w:lang w:val="en-US" w:eastAsia="zh-CN"/>
              </w:rPr>
            </w:pPr>
            <w:r>
              <w:rPr>
                <w:rFonts w:hint="eastAsia" w:ascii="宋体" w:hAnsi="宋体" w:eastAsia="宋体" w:cs="宋体"/>
                <w:b/>
                <w:color w:val="000000" w:themeColor="text1"/>
                <w:sz w:val="21"/>
                <w:szCs w:val="21"/>
              </w:rPr>
              <w:t>OHSMS事务代表协商和交流的情况（OHSMS填写）：</w:t>
            </w:r>
            <w:r>
              <w:rPr>
                <w:rFonts w:hint="eastAsia" w:ascii="宋体" w:hAnsi="宋体" w:eastAsia="宋体" w:cs="宋体"/>
                <w:sz w:val="21"/>
                <w:szCs w:val="21"/>
                <w:u w:val="single"/>
              </w:rPr>
              <w:t>公司经选举确定员工代表是</w:t>
            </w:r>
            <w:r>
              <w:rPr>
                <w:rFonts w:hint="eastAsia" w:ascii="宋体" w:hAnsi="宋体" w:eastAsia="宋体" w:cs="宋体"/>
                <w:sz w:val="21"/>
                <w:szCs w:val="21"/>
                <w:u w:val="single"/>
                <w:lang w:val="en-US" w:eastAsia="zh-CN"/>
              </w:rPr>
              <w:t>秦赫艺。</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sz w:val="21"/>
                <w:szCs w:val="21"/>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ascii="宋体" w:hAnsi="宋体"/>
                <w:b/>
                <w:sz w:val="21"/>
                <w:szCs w:val="21"/>
              </w:rPr>
            </w:pPr>
            <w:r>
              <w:rPr>
                <w:rFonts w:hint="eastAsia" w:ascii="宋体" w:hAnsi="宋体" w:eastAsia="宋体" w:cs="宋体"/>
                <w:b/>
                <w:color w:val="000000" w:themeColor="text1"/>
                <w:sz w:val="21"/>
                <w:szCs w:val="21"/>
              </w:rPr>
              <w:t>与相关方协商的情况（OHSMS填写）：</w:t>
            </w:r>
            <w:r>
              <w:rPr>
                <w:rFonts w:hint="eastAsia" w:ascii="宋体" w:hAnsi="宋体" w:eastAsia="宋体" w:cs="宋体"/>
                <w:sz w:val="21"/>
                <w:szCs w:val="21"/>
                <w:u w:val="single"/>
              </w:rPr>
              <w:t>对相关方进行了安全告知。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360" w:lineRule="auto"/>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360" w:lineRule="auto"/>
              <w:rPr>
                <w:rFonts w:hint="eastAsia" w:ascii="宋体" w:hAnsi="宋体"/>
                <w:b w:val="0"/>
                <w:bCs/>
                <w:sz w:val="21"/>
                <w:szCs w:val="21"/>
              </w:rPr>
            </w:pPr>
            <w:r>
              <w:rPr>
                <w:rFonts w:hint="eastAsia" w:ascii="宋体" w:hAnsi="宋体"/>
                <w:b w:val="0"/>
                <w:bCs/>
                <w:sz w:val="21"/>
                <w:szCs w:val="21"/>
              </w:rPr>
              <w:t>公司主要从事：碳纤维复合材料产品（抽油杆及导线芯）生产和销售相关职业健康安全管理活动，生产工艺流程为：</w:t>
            </w:r>
          </w:p>
          <w:p>
            <w:pPr>
              <w:spacing w:line="360" w:lineRule="auto"/>
              <w:rPr>
                <w:rFonts w:hint="eastAsia" w:ascii="宋体" w:hAnsi="宋体"/>
                <w:b w:val="0"/>
                <w:bCs/>
                <w:sz w:val="21"/>
                <w:szCs w:val="21"/>
              </w:rPr>
            </w:pPr>
            <w:r>
              <w:rPr>
                <w:rFonts w:hint="eastAsia" w:ascii="宋体" w:hAnsi="宋体"/>
                <w:b w:val="0"/>
                <w:bCs/>
                <w:sz w:val="21"/>
                <w:szCs w:val="21"/>
              </w:rPr>
              <w:t>原料（碳纤维、树脂、玻璃纤维带）→配胶→浸胶→成型→牵伸收卷→拉挤成型→成品收卷</w:t>
            </w:r>
          </w:p>
          <w:p>
            <w:pPr>
              <w:spacing w:line="360" w:lineRule="auto"/>
              <w:rPr>
                <w:rFonts w:hint="eastAsia" w:ascii="宋体" w:hAnsi="宋体"/>
                <w:b w:val="0"/>
                <w:bCs/>
                <w:sz w:val="21"/>
                <w:szCs w:val="21"/>
              </w:rPr>
            </w:pPr>
            <w:r>
              <w:rPr>
                <w:rFonts w:hint="eastAsia" w:ascii="宋体" w:hAnsi="宋体"/>
                <w:b w:val="0"/>
                <w:bCs/>
                <w:sz w:val="21"/>
                <w:szCs w:val="21"/>
              </w:rPr>
              <w:t>特殊过程是拉挤成型过程，提供特殊过程的《特殊过程确认表》。</w:t>
            </w:r>
          </w:p>
          <w:p>
            <w:pPr>
              <w:spacing w:line="360" w:lineRule="auto"/>
              <w:rPr>
                <w:rFonts w:hint="eastAsia" w:ascii="宋体" w:hAnsi="宋体"/>
                <w:b w:val="0"/>
                <w:bCs/>
                <w:sz w:val="21"/>
                <w:szCs w:val="21"/>
              </w:rPr>
            </w:pPr>
            <w:r>
              <w:rPr>
                <w:rFonts w:hint="eastAsia" w:ascii="宋体" w:hAnsi="宋体"/>
                <w:b w:val="0"/>
                <w:bCs/>
                <w:sz w:val="21"/>
                <w:szCs w:val="21"/>
              </w:rPr>
              <w:t>公司依据客户订单，下达生产计划，接到定单后召开生产会议，进行生产、质量及管理工作协调。</w:t>
            </w:r>
          </w:p>
          <w:p>
            <w:pPr>
              <w:spacing w:line="360" w:lineRule="auto"/>
              <w:rPr>
                <w:rFonts w:hint="eastAsia" w:ascii="宋体" w:hAnsi="宋体"/>
                <w:b w:val="0"/>
                <w:bCs/>
                <w:sz w:val="21"/>
                <w:szCs w:val="21"/>
              </w:rPr>
            </w:pPr>
            <w:r>
              <w:rPr>
                <w:rFonts w:hint="eastAsia" w:ascii="宋体" w:hAnsi="宋体"/>
                <w:b w:val="0"/>
                <w:bCs/>
                <w:sz w:val="21"/>
                <w:szCs w:val="21"/>
              </w:rPr>
              <w:t>通过原材料检验、过程检验、成品检验等过程对产品质量、生产进度等进行监控。</w:t>
            </w:r>
          </w:p>
          <w:p>
            <w:pPr>
              <w:spacing w:line="360" w:lineRule="auto"/>
              <w:rPr>
                <w:rFonts w:hint="eastAsia" w:ascii="宋体" w:hAnsi="宋体"/>
                <w:b w:val="0"/>
                <w:bCs/>
                <w:sz w:val="21"/>
                <w:szCs w:val="21"/>
              </w:rPr>
            </w:pPr>
            <w:r>
              <w:rPr>
                <w:rFonts w:hint="eastAsia" w:ascii="宋体" w:hAnsi="宋体"/>
                <w:b w:val="0"/>
                <w:bCs/>
                <w:sz w:val="21"/>
                <w:szCs w:val="21"/>
              </w:rPr>
              <w:t>为生产过程提供了适宜的设备及环境，配备了胜任的人员。</w:t>
            </w:r>
          </w:p>
          <w:p>
            <w:pPr>
              <w:spacing w:line="360" w:lineRule="auto"/>
              <w:rPr>
                <w:rFonts w:ascii="宋体" w:hAnsi="宋体"/>
                <w:b/>
                <w:sz w:val="21"/>
                <w:szCs w:val="21"/>
              </w:rPr>
            </w:pPr>
            <w:r>
              <w:rPr>
                <w:rFonts w:hint="eastAsia" w:ascii="宋体" w:hAnsi="宋体"/>
                <w:b w:val="0"/>
                <w:bCs/>
                <w:sz w:val="21"/>
                <w:szCs w:val="21"/>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ind w:firstLine="420" w:firstLineChars="200"/>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企业参考国家行业主要有：SY/T6585-2013《连续抽油杆》</w:t>
            </w:r>
          </w:p>
          <w:p>
            <w:pPr>
              <w:spacing w:line="360" w:lineRule="auto"/>
              <w:ind w:firstLine="420" w:firstLineChars="200"/>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提供了产品出厂检验报告，产品检验合格，满足顾客要求。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r>
              <w:rPr>
                <w:rFonts w:hint="eastAsia" w:ascii="宋体" w:hAnsi="宋体"/>
                <w:b/>
                <w:sz w:val="21"/>
                <w:szCs w:val="21"/>
              </w:rPr>
              <w:t>无。</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360" w:lineRule="auto"/>
              <w:rPr>
                <w:rFonts w:hint="eastAsia" w:ascii="宋体" w:hAnsi="宋体"/>
                <w:b w:val="0"/>
                <w:bCs/>
                <w:sz w:val="21"/>
                <w:szCs w:val="21"/>
              </w:rPr>
            </w:pPr>
            <w:r>
              <w:rPr>
                <w:rFonts w:hint="eastAsia" w:ascii="宋体" w:hAnsi="宋体"/>
                <w:b w:val="0"/>
                <w:bCs/>
                <w:sz w:val="21"/>
                <w:szCs w:val="21"/>
              </w:rPr>
              <w:t>1、废水管控：企业无工业废水，生活废水流入市政管网。</w:t>
            </w:r>
          </w:p>
          <w:p>
            <w:pPr>
              <w:spacing w:line="360" w:lineRule="auto"/>
              <w:rPr>
                <w:rFonts w:hint="eastAsia" w:ascii="宋体" w:hAnsi="宋体"/>
                <w:b w:val="0"/>
                <w:bCs/>
                <w:sz w:val="21"/>
                <w:szCs w:val="21"/>
              </w:rPr>
            </w:pPr>
            <w:r>
              <w:rPr>
                <w:rFonts w:hint="eastAsia" w:ascii="宋体" w:hAnsi="宋体"/>
                <w:b w:val="0"/>
                <w:bCs/>
                <w:sz w:val="21"/>
                <w:szCs w:val="21"/>
              </w:rPr>
              <w:t>2、废气管控：无废气排放。</w:t>
            </w:r>
          </w:p>
          <w:p>
            <w:pPr>
              <w:spacing w:line="360" w:lineRule="auto"/>
              <w:rPr>
                <w:rFonts w:hint="eastAsia" w:ascii="宋体" w:hAnsi="宋体"/>
                <w:b w:val="0"/>
                <w:bCs/>
                <w:sz w:val="21"/>
                <w:szCs w:val="21"/>
              </w:rPr>
            </w:pPr>
            <w:r>
              <w:rPr>
                <w:rFonts w:hint="eastAsia" w:ascii="宋体" w:hAnsi="宋体"/>
                <w:b w:val="0"/>
                <w:bCs/>
                <w:sz w:val="21"/>
                <w:szCs w:val="21"/>
              </w:rPr>
              <w:t>3、噪声管控：无噪声排放。</w:t>
            </w:r>
          </w:p>
          <w:p>
            <w:pPr>
              <w:spacing w:line="360" w:lineRule="auto"/>
              <w:rPr>
                <w:rFonts w:hint="eastAsia" w:ascii="宋体" w:hAnsi="宋体"/>
                <w:b w:val="0"/>
                <w:bCs/>
                <w:sz w:val="21"/>
                <w:szCs w:val="21"/>
              </w:rPr>
            </w:pPr>
            <w:r>
              <w:rPr>
                <w:rFonts w:hint="eastAsia" w:ascii="宋体" w:hAnsi="宋体"/>
                <w:b w:val="0"/>
                <w:bCs/>
                <w:sz w:val="21"/>
                <w:szCs w:val="21"/>
              </w:rPr>
              <w:t>4、固废管控：办公废旧硒鼓/墨盒，由供应商回收。生活垃圾由当地环卫所处理，公司缴纳处理费。</w:t>
            </w:r>
          </w:p>
          <w:p>
            <w:pPr>
              <w:spacing w:line="360" w:lineRule="auto"/>
              <w:rPr>
                <w:rFonts w:hint="eastAsia" w:ascii="宋体" w:hAnsi="宋体"/>
                <w:b w:val="0"/>
                <w:bCs/>
                <w:sz w:val="21"/>
                <w:szCs w:val="21"/>
              </w:rPr>
            </w:pPr>
            <w:r>
              <w:rPr>
                <w:rFonts w:hint="eastAsia" w:ascii="宋体" w:hAnsi="宋体"/>
                <w:b w:val="0"/>
                <w:bCs/>
                <w:sz w:val="21"/>
                <w:szCs w:val="21"/>
              </w:rPr>
              <w:t>5、能源资源管控：注意节水、节电，人走关闭设备和照明开关，现场未发现有漏水和浪费电能的现象。</w:t>
            </w:r>
          </w:p>
          <w:p>
            <w:pPr>
              <w:spacing w:line="360" w:lineRule="auto"/>
              <w:rPr>
                <w:rFonts w:hint="eastAsia" w:ascii="宋体" w:hAnsi="宋体"/>
                <w:b w:val="0"/>
                <w:bCs/>
                <w:sz w:val="21"/>
                <w:szCs w:val="21"/>
              </w:rPr>
            </w:pPr>
            <w:r>
              <w:rPr>
                <w:rFonts w:hint="eastAsia" w:ascii="宋体" w:hAnsi="宋体"/>
                <w:b w:val="0"/>
                <w:bCs/>
                <w:sz w:val="21"/>
                <w:szCs w:val="21"/>
              </w:rPr>
              <w:t>6、产品生命周期的环境管控：公司采购产品时已考虑了产品的环保性（包括其包装），严格按照环保等管理制度实施，控制好辅助材料的用量，避免浪费，生命周期终了时废旧碳纤维还可以回收再利用。</w:t>
            </w:r>
          </w:p>
          <w:p>
            <w:pPr>
              <w:spacing w:line="360" w:lineRule="auto"/>
              <w:rPr>
                <w:rFonts w:ascii="宋体" w:hAnsi="宋体"/>
                <w:b/>
                <w:sz w:val="21"/>
                <w:szCs w:val="21"/>
              </w:rPr>
            </w:pPr>
            <w:r>
              <w:rPr>
                <w:rFonts w:hint="eastAsia" w:ascii="宋体" w:hAnsi="宋体"/>
                <w:b w:val="0"/>
                <w:bCs/>
                <w:sz w:val="21"/>
                <w:szCs w:val="21"/>
              </w:rPr>
              <w:t>7、对相关方进行环保告知。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0"/>
              </w:numPr>
              <w:spacing w:line="360" w:lineRule="auto"/>
              <w:rPr>
                <w:rFonts w:hint="eastAsia" w:ascii="宋体" w:hAnsi="宋体"/>
                <w:b/>
                <w:sz w:val="21"/>
                <w:szCs w:val="21"/>
              </w:rPr>
            </w:pPr>
            <w:r>
              <w:rPr>
                <w:rFonts w:hint="eastAsia" w:ascii="宋体" w:hAnsi="宋体"/>
                <w:b/>
                <w:sz w:val="21"/>
                <w:szCs w:val="21"/>
                <w:lang w:val="en-US" w:eastAsia="zh-CN"/>
              </w:rPr>
              <w:t>8.</w:t>
            </w: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360" w:lineRule="auto"/>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1、潜在火灾管控：公司生产车间和办公区域配备了灭火器、消防栓，均符合要求。</w:t>
            </w:r>
          </w:p>
          <w:p>
            <w:pPr>
              <w:spacing w:line="360" w:lineRule="auto"/>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2、安全防护：公司给员工发放手套、口罩、工作服等劳保用品。生产车间内现场电线布线合理，电线均处于完好状态，设备有接地及保护装置，控制柜及漏电保护器状态良好。设备旋转部位和凸出部位以及高温区，安装有防护罩和防护栏等，设备运行状况良好，无带病工作现象。推制成型过程，作业温度较高，现场操作工戴手套穿劳保鞋防止烫伤，有急救包。</w:t>
            </w:r>
          </w:p>
          <w:p>
            <w:pPr>
              <w:spacing w:line="360" w:lineRule="auto"/>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3、能提供防止员工意外伤害加重的急救药品如创可贴、杀菌药水等。</w:t>
            </w:r>
          </w:p>
          <w:p>
            <w:pPr>
              <w:spacing w:line="360" w:lineRule="auto"/>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4、为主要长期员工上社保、工伤保险。</w:t>
            </w:r>
          </w:p>
          <w:p>
            <w:pPr>
              <w:spacing w:line="360" w:lineRule="auto"/>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5、为职业健康安全管理体系运行提供了财务支持，2019</w:t>
            </w:r>
            <w:r>
              <w:rPr>
                <w:rFonts w:hint="eastAsia" w:asciiTheme="minorEastAsia" w:hAnsiTheme="minorEastAsia" w:eastAsiaTheme="minorEastAsia"/>
                <w:sz w:val="21"/>
                <w:szCs w:val="21"/>
                <w:u w:val="none"/>
                <w:lang w:val="en-US" w:eastAsia="zh-CN"/>
              </w:rPr>
              <w:t>-2020</w:t>
            </w:r>
            <w:r>
              <w:rPr>
                <w:rFonts w:hint="eastAsia" w:asciiTheme="minorEastAsia" w:hAnsiTheme="minorEastAsia" w:eastAsiaTheme="minorEastAsia"/>
                <w:sz w:val="21"/>
                <w:szCs w:val="21"/>
                <w:u w:val="none"/>
              </w:rPr>
              <w:t>年度主要投入在意外保险、员工五险、安全培训、消防设备、体检、劳保用品等方面，支出约</w:t>
            </w:r>
            <w:r>
              <w:rPr>
                <w:rFonts w:hint="eastAsia" w:asciiTheme="minorEastAsia" w:hAnsiTheme="minorEastAsia" w:eastAsiaTheme="minorEastAsia"/>
                <w:sz w:val="21"/>
                <w:szCs w:val="21"/>
                <w:u w:val="none"/>
                <w:lang w:val="en-US" w:eastAsia="zh-CN"/>
              </w:rPr>
              <w:t>12</w:t>
            </w:r>
            <w:r>
              <w:rPr>
                <w:rFonts w:hint="eastAsia" w:asciiTheme="minorEastAsia" w:hAnsiTheme="minorEastAsia" w:eastAsiaTheme="minorEastAsia"/>
                <w:sz w:val="21"/>
                <w:szCs w:val="21"/>
                <w:u w:val="none"/>
              </w:rPr>
              <w:t>万元。</w:t>
            </w:r>
          </w:p>
          <w:p>
            <w:pPr>
              <w:spacing w:line="360" w:lineRule="auto"/>
              <w:rPr>
                <w:rFonts w:ascii="宋体" w:hAnsi="宋体"/>
                <w:b/>
                <w:sz w:val="21"/>
                <w:szCs w:val="21"/>
              </w:rPr>
            </w:pPr>
            <w:r>
              <w:rPr>
                <w:rFonts w:hint="eastAsia" w:asciiTheme="minorEastAsia" w:hAnsiTheme="minorEastAsia" w:eastAsiaTheme="minorEastAsia"/>
                <w:sz w:val="21"/>
                <w:szCs w:val="21"/>
                <w:u w:val="none"/>
              </w:rPr>
              <w:t>6、员工饮用水为纯净水通过饮水机饮用。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rPr>
                <w:rFonts w:hint="eastAsia" w:ascii="宋体" w:hAnsi="宋体"/>
                <w:b w:val="0"/>
                <w:bCs/>
                <w:sz w:val="21"/>
                <w:szCs w:val="21"/>
              </w:rPr>
            </w:pPr>
            <w:r>
              <w:rPr>
                <w:rFonts w:hint="eastAsia" w:ascii="宋体" w:hAnsi="宋体"/>
                <w:b w:val="0"/>
                <w:bCs/>
                <w:sz w:val="21"/>
                <w:szCs w:val="21"/>
              </w:rPr>
              <w:t>公司确定的紧急情况有：火灾、人身伤害等。提供了应急预案，其中包括目的、适用范围、职责、应急处理细则、演习、必备资料等，相关内容基本充分。</w:t>
            </w:r>
          </w:p>
          <w:p>
            <w:pPr>
              <w:spacing w:line="360" w:lineRule="auto"/>
              <w:rPr>
                <w:rFonts w:hint="eastAsia" w:ascii="宋体" w:hAnsi="宋体"/>
                <w:b w:val="0"/>
                <w:bCs/>
                <w:sz w:val="21"/>
                <w:szCs w:val="21"/>
              </w:rPr>
            </w:pPr>
            <w:r>
              <w:rPr>
                <w:rFonts w:hint="eastAsia" w:ascii="宋体" w:hAnsi="宋体"/>
                <w:b w:val="0"/>
                <w:bCs/>
                <w:sz w:val="21"/>
                <w:szCs w:val="21"/>
              </w:rPr>
              <w:t>应急设施配置：在办公场所内、仓库内均配备了消防栓、灭火器等消防设施，状态良好。</w:t>
            </w:r>
          </w:p>
          <w:p>
            <w:pPr>
              <w:spacing w:line="360" w:lineRule="auto"/>
              <w:rPr>
                <w:rFonts w:hint="eastAsia" w:ascii="宋体" w:hAnsi="宋体"/>
                <w:b w:val="0"/>
                <w:bCs/>
                <w:sz w:val="21"/>
                <w:szCs w:val="21"/>
              </w:rPr>
            </w:pPr>
            <w:r>
              <w:rPr>
                <w:rFonts w:hint="eastAsia" w:ascii="宋体" w:hAnsi="宋体"/>
                <w:b w:val="0"/>
                <w:bCs/>
                <w:sz w:val="21"/>
                <w:szCs w:val="21"/>
              </w:rPr>
              <w:t>查《火灾应急预案演练记录》</w:t>
            </w:r>
            <w:r>
              <w:rPr>
                <w:rFonts w:hint="eastAsia" w:ascii="宋体" w:hAnsi="宋体"/>
                <w:b w:val="0"/>
                <w:bCs/>
                <w:sz w:val="21"/>
                <w:szCs w:val="21"/>
                <w:lang w:eastAsia="zh-CN"/>
              </w:rPr>
              <w:t>，</w:t>
            </w:r>
            <w:r>
              <w:rPr>
                <w:rFonts w:hint="eastAsia" w:ascii="宋体" w:hAnsi="宋体"/>
                <w:b w:val="0"/>
                <w:bCs/>
                <w:sz w:val="21"/>
                <w:szCs w:val="21"/>
              </w:rPr>
              <w:t>20</w:t>
            </w:r>
            <w:r>
              <w:rPr>
                <w:rFonts w:hint="eastAsia" w:ascii="宋体" w:hAnsi="宋体"/>
                <w:b w:val="0"/>
                <w:bCs/>
                <w:sz w:val="21"/>
                <w:szCs w:val="21"/>
                <w:lang w:val="en-US" w:eastAsia="zh-CN"/>
              </w:rPr>
              <w:t>20</w:t>
            </w:r>
            <w:r>
              <w:rPr>
                <w:rFonts w:hint="eastAsia" w:ascii="宋体" w:hAnsi="宋体"/>
                <w:b w:val="0"/>
                <w:bCs/>
                <w:sz w:val="21"/>
                <w:szCs w:val="21"/>
              </w:rPr>
              <w:t>.</w:t>
            </w:r>
            <w:r>
              <w:rPr>
                <w:rFonts w:hint="eastAsia" w:ascii="宋体" w:hAnsi="宋体"/>
                <w:b w:val="0"/>
                <w:bCs/>
                <w:sz w:val="21"/>
                <w:szCs w:val="21"/>
                <w:lang w:val="en-US" w:eastAsia="zh-CN"/>
              </w:rPr>
              <w:t>5</w:t>
            </w:r>
            <w:r>
              <w:rPr>
                <w:rFonts w:hint="eastAsia" w:ascii="宋体" w:hAnsi="宋体"/>
                <w:b w:val="0"/>
                <w:bCs/>
                <w:sz w:val="21"/>
                <w:szCs w:val="21"/>
              </w:rPr>
              <w:t>.</w:t>
            </w:r>
            <w:r>
              <w:rPr>
                <w:rFonts w:hint="eastAsia" w:ascii="宋体" w:hAnsi="宋体"/>
                <w:b w:val="0"/>
                <w:bCs/>
                <w:sz w:val="21"/>
                <w:szCs w:val="21"/>
                <w:lang w:val="en-US" w:eastAsia="zh-CN"/>
              </w:rPr>
              <w:t>11</w:t>
            </w:r>
            <w:r>
              <w:rPr>
                <w:rFonts w:hint="eastAsia" w:ascii="宋体" w:hAnsi="宋体"/>
                <w:b w:val="0"/>
                <w:bCs/>
                <w:sz w:val="21"/>
                <w:szCs w:val="21"/>
              </w:rPr>
              <w:t>日上午</w:t>
            </w:r>
            <w:r>
              <w:rPr>
                <w:rFonts w:hint="eastAsia" w:ascii="宋体" w:hAnsi="宋体"/>
                <w:b w:val="0"/>
                <w:bCs/>
                <w:sz w:val="21"/>
                <w:szCs w:val="21"/>
                <w:lang w:val="en-US" w:eastAsia="zh-CN"/>
              </w:rPr>
              <w:t>进行了消防应急演练、2020.6.8上午进行了，触电消防应急演练，</w:t>
            </w:r>
            <w:r>
              <w:rPr>
                <w:rFonts w:hint="eastAsia" w:ascii="宋体" w:hAnsi="宋体"/>
                <w:b w:val="0"/>
                <w:bCs/>
                <w:sz w:val="21"/>
                <w:szCs w:val="21"/>
              </w:rPr>
              <w:t>参加人员各岗位人员；记录演练过程、急救措施等内容。</w:t>
            </w:r>
          </w:p>
          <w:p>
            <w:pPr>
              <w:spacing w:before="120" w:line="160" w:lineRule="exact"/>
              <w:ind w:firstLine="420" w:firstLineChars="200"/>
              <w:rPr>
                <w:rFonts w:hint="default" w:ascii="宋体" w:hAnsi="宋体"/>
                <w:b w:val="0"/>
                <w:bCs/>
                <w:sz w:val="21"/>
                <w:szCs w:val="21"/>
                <w:lang w:val="en-US"/>
              </w:rPr>
            </w:pPr>
            <w:r>
              <w:rPr>
                <w:rFonts w:hint="eastAsia" w:ascii="宋体" w:hAnsi="宋体" w:eastAsia="宋体" w:cs="宋体"/>
                <w:sz w:val="21"/>
                <w:szCs w:val="21"/>
                <w:lang w:val="en-US" w:eastAsia="zh-CN"/>
              </w:rPr>
              <w:t>远程巡视</w:t>
            </w:r>
            <w:r>
              <w:rPr>
                <w:rFonts w:hint="eastAsia" w:ascii="宋体" w:hAnsi="宋体" w:eastAsia="宋体" w:cs="宋体"/>
                <w:sz w:val="21"/>
                <w:szCs w:val="21"/>
              </w:rPr>
              <w:t>生产车间和办公区域</w:t>
            </w:r>
            <w:r>
              <w:rPr>
                <w:rFonts w:hint="eastAsia" w:ascii="宋体" w:hAnsi="宋体" w:eastAsia="宋体" w:cs="宋体"/>
                <w:sz w:val="21"/>
                <w:szCs w:val="21"/>
                <w:lang w:val="en-US" w:eastAsia="zh-CN"/>
              </w:rPr>
              <w:t>均</w:t>
            </w:r>
            <w:r>
              <w:rPr>
                <w:rFonts w:hint="eastAsia" w:ascii="宋体" w:hAnsi="宋体" w:eastAsia="宋体" w:cs="宋体"/>
                <w:sz w:val="21"/>
                <w:szCs w:val="21"/>
              </w:rPr>
              <w:t>有灭火器，</w:t>
            </w:r>
            <w:r>
              <w:rPr>
                <w:rFonts w:hint="eastAsia" w:ascii="宋体" w:hAnsi="宋体" w:cs="宋体"/>
                <w:sz w:val="21"/>
                <w:szCs w:val="21"/>
                <w:lang w:val="en-US" w:eastAsia="zh-CN"/>
              </w:rPr>
              <w:t>但不能提供消防器材检查记录，已开具不符合。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5" w:firstLineChars="50"/>
              <w:jc w:val="left"/>
              <w:rPr>
                <w:rFonts w:ascii="宋体" w:hAnsi="宋体"/>
                <w:b/>
                <w:sz w:val="21"/>
                <w:szCs w:val="21"/>
              </w:rPr>
            </w:pPr>
            <w:r>
              <w:rPr>
                <w:rFonts w:hint="eastAsia" w:asciiTheme="minorEastAsia" w:hAnsiTheme="minorEastAsia" w:eastAsiaTheme="minorEastAsia"/>
                <w:sz w:val="21"/>
                <w:szCs w:val="21"/>
                <w:u w:val="none"/>
              </w:rPr>
              <w:t>提供起重机</w:t>
            </w:r>
            <w:r>
              <w:rPr>
                <w:rFonts w:hint="eastAsia" w:asciiTheme="minorEastAsia" w:hAnsiTheme="minorEastAsia" w:eastAsiaTheme="minorEastAsia"/>
                <w:sz w:val="21"/>
                <w:szCs w:val="21"/>
                <w:u w:val="none"/>
                <w:lang w:eastAsia="zh-CN"/>
              </w:rPr>
              <w:t>、</w:t>
            </w:r>
            <w:r>
              <w:rPr>
                <w:rFonts w:hint="eastAsia" w:asciiTheme="minorEastAsia" w:hAnsiTheme="minorEastAsia" w:eastAsiaTheme="minorEastAsia"/>
                <w:sz w:val="21"/>
                <w:szCs w:val="21"/>
                <w:u w:val="none"/>
                <w:lang w:val="en-US" w:eastAsia="zh-CN"/>
              </w:rPr>
              <w:t>叉车</w:t>
            </w:r>
            <w:r>
              <w:rPr>
                <w:rFonts w:hint="eastAsia" w:asciiTheme="minorEastAsia" w:hAnsiTheme="minorEastAsia" w:eastAsiaTheme="minorEastAsia"/>
                <w:sz w:val="21"/>
                <w:szCs w:val="21"/>
                <w:u w:val="none"/>
              </w:rPr>
              <w:t>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360" w:lineRule="auto"/>
              <w:ind w:firstLine="201" w:firstLineChars="100"/>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105" w:firstLineChars="50"/>
              <w:rPr>
                <w:rFonts w:ascii="宋体" w:hAnsi="宋体"/>
                <w:b/>
                <w:sz w:val="21"/>
                <w:szCs w:val="21"/>
              </w:rPr>
            </w:pPr>
            <w:r>
              <w:rPr>
                <w:rFonts w:hint="eastAsia" w:cs="Times New Roman" w:asciiTheme="minorEastAsia" w:hAnsiTheme="minorEastAsia" w:eastAsiaTheme="minorEastAsia"/>
                <w:sz w:val="21"/>
                <w:szCs w:val="21"/>
                <w:u w:val="none"/>
              </w:rPr>
              <w:t>20</w:t>
            </w:r>
            <w:r>
              <w:rPr>
                <w:rFonts w:hint="eastAsia" w:cs="Times New Roman" w:asciiTheme="minorEastAsia" w:hAnsiTheme="minorEastAsia" w:eastAsiaTheme="minorEastAsia"/>
                <w:sz w:val="21"/>
                <w:szCs w:val="21"/>
                <w:u w:val="none"/>
                <w:lang w:val="en-US" w:eastAsia="zh-CN"/>
              </w:rPr>
              <w:t>20</w:t>
            </w:r>
            <w:r>
              <w:rPr>
                <w:rFonts w:hint="eastAsia" w:cs="Times New Roman" w:asciiTheme="minorEastAsia" w:hAnsiTheme="minorEastAsia" w:eastAsiaTheme="minorEastAsia"/>
                <w:sz w:val="21"/>
                <w:szCs w:val="21"/>
                <w:u w:val="none"/>
              </w:rPr>
              <w:t>.6.</w:t>
            </w:r>
            <w:r>
              <w:rPr>
                <w:rFonts w:hint="eastAsia" w:cs="Times New Roman" w:asciiTheme="minorEastAsia" w:hAnsiTheme="minorEastAsia" w:eastAsiaTheme="minorEastAsia"/>
                <w:sz w:val="21"/>
                <w:szCs w:val="21"/>
                <w:u w:val="none"/>
                <w:lang w:val="en-US" w:eastAsia="zh-CN"/>
              </w:rPr>
              <w:t>30</w:t>
            </w:r>
            <w:r>
              <w:rPr>
                <w:rFonts w:hint="eastAsia" w:cs="Times New Roman" w:asciiTheme="minorEastAsia" w:hAnsiTheme="minorEastAsia" w:eastAsiaTheme="minorEastAsia"/>
                <w:sz w:val="21"/>
                <w:szCs w:val="21"/>
                <w:u w:val="none"/>
              </w:rPr>
              <w:t>日对质量环境/职业健康安全目标指标进行了检查，能</w:t>
            </w:r>
            <w:r>
              <w:rPr>
                <w:rFonts w:hint="eastAsia" w:asciiTheme="minorEastAsia" w:hAnsiTheme="minorEastAsia" w:eastAsiaTheme="minorEastAsia"/>
                <w:sz w:val="21"/>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lang w:val="en-US" w:eastAsia="zh-CN"/>
              </w:rPr>
              <w:t>2.</w:t>
            </w:r>
            <w:r>
              <w:rPr>
                <w:rFonts w:hint="eastAsia" w:ascii="宋体" w:hAnsi="宋体"/>
                <w:b/>
                <w:sz w:val="21"/>
                <w:szCs w:val="21"/>
              </w:rPr>
              <w:t>顾客满意</w:t>
            </w:r>
          </w:p>
          <w:p>
            <w:pPr>
              <w:spacing w:line="360" w:lineRule="auto"/>
              <w:rPr>
                <w:b w:val="0"/>
                <w:bCs w:val="0"/>
                <w:color w:val="000000" w:themeColor="text1"/>
                <w:sz w:val="21"/>
                <w:szCs w:val="21"/>
                <w:u w:val="none"/>
              </w:rPr>
            </w:pPr>
            <w:r>
              <w:rPr>
                <w:rFonts w:hint="eastAsia" w:asciiTheme="minorEastAsia" w:hAnsiTheme="minorEastAsia" w:eastAsiaTheme="minorEastAsia"/>
                <w:b w:val="0"/>
                <w:bCs w:val="0"/>
                <w:sz w:val="21"/>
                <w:szCs w:val="21"/>
                <w:u w:val="none"/>
              </w:rPr>
              <w:t>企业主要通过开展顾客满意度调查来收集并了解顾客满意的信息，查见顾客满意程度调查表。调查表从产品质量、价格、交付时间、售后服务等方面对顾客满意度进行了调查。</w:t>
            </w:r>
          </w:p>
          <w:p>
            <w:pPr>
              <w:numPr>
                <w:ilvl w:val="0"/>
                <w:numId w:val="0"/>
              </w:numPr>
              <w:spacing w:line="240" w:lineRule="exact"/>
              <w:ind w:leftChars="-50"/>
              <w:rPr>
                <w:rFonts w:hint="eastAsia" w:ascii="宋体" w:hAnsi="宋体"/>
                <w:b/>
                <w:sz w:val="21"/>
                <w:szCs w:val="21"/>
              </w:rPr>
            </w:pPr>
          </w:p>
          <w:p>
            <w:pPr>
              <w:numPr>
                <w:ilvl w:val="0"/>
                <w:numId w:val="0"/>
              </w:numPr>
              <w:spacing w:line="240" w:lineRule="exact"/>
              <w:ind w:leftChars="-5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rPr>
                <w:rFonts w:hint="eastAsia" w:cs="Times New Roman" w:asciiTheme="minorEastAsia" w:hAnsiTheme="minorEastAsia" w:eastAsiaTheme="minorEastAsia"/>
                <w:b w:val="0"/>
                <w:bCs w:val="0"/>
                <w:sz w:val="21"/>
                <w:szCs w:val="21"/>
                <w:u w:val="none"/>
              </w:rPr>
            </w:pPr>
            <w:r>
              <w:rPr>
                <w:rFonts w:hint="eastAsia" w:cs="Times New Roman" w:asciiTheme="minorEastAsia" w:hAnsiTheme="minorEastAsia" w:eastAsiaTheme="minorEastAsia"/>
                <w:b w:val="0"/>
                <w:bCs w:val="0"/>
                <w:sz w:val="21"/>
                <w:szCs w:val="21"/>
                <w:u w:val="none"/>
              </w:rPr>
              <w:t>每年一次，本次2019年</w:t>
            </w:r>
            <w:r>
              <w:rPr>
                <w:rFonts w:hint="eastAsia" w:cs="Times New Roman" w:asciiTheme="minorEastAsia" w:hAnsiTheme="minorEastAsia" w:eastAsiaTheme="minorEastAsia"/>
                <w:b w:val="0"/>
                <w:bCs w:val="0"/>
                <w:sz w:val="21"/>
                <w:szCs w:val="21"/>
                <w:u w:val="none"/>
                <w:lang w:val="en-US" w:eastAsia="zh-CN"/>
              </w:rPr>
              <w:t>12</w:t>
            </w:r>
            <w:r>
              <w:rPr>
                <w:rFonts w:hint="eastAsia" w:cs="Times New Roman" w:asciiTheme="minorEastAsia" w:hAnsiTheme="minorEastAsia" w:eastAsiaTheme="minorEastAsia"/>
                <w:b w:val="0"/>
                <w:bCs w:val="0"/>
                <w:sz w:val="21"/>
                <w:szCs w:val="21"/>
                <w:u w:val="none"/>
              </w:rPr>
              <w:t>月</w:t>
            </w:r>
            <w:r>
              <w:rPr>
                <w:rFonts w:hint="eastAsia" w:cs="Times New Roman" w:asciiTheme="minorEastAsia" w:hAnsiTheme="minorEastAsia" w:eastAsiaTheme="minorEastAsia"/>
                <w:b w:val="0"/>
                <w:bCs w:val="0"/>
                <w:sz w:val="21"/>
                <w:szCs w:val="21"/>
                <w:u w:val="none"/>
                <w:lang w:val="en-US" w:eastAsia="zh-CN"/>
              </w:rPr>
              <w:t>25</w:t>
            </w:r>
            <w:r>
              <w:rPr>
                <w:rFonts w:hint="eastAsia" w:cs="Times New Roman" w:asciiTheme="minorEastAsia" w:hAnsiTheme="minorEastAsia" w:eastAsiaTheme="minorEastAsia"/>
                <w:b w:val="0"/>
                <w:bCs w:val="0"/>
                <w:sz w:val="21"/>
                <w:szCs w:val="21"/>
                <w:u w:val="none"/>
              </w:rPr>
              <w:t>内审。</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了解内审是否覆盖了管理体系范围内的活动及标准的要求; </w:t>
            </w:r>
          </w:p>
          <w:p>
            <w:pPr>
              <w:spacing w:line="360" w:lineRule="auto"/>
              <w:ind w:firstLine="210" w:firstLineChars="100"/>
              <w:rPr>
                <w:rFonts w:hint="eastAsia" w:ascii="宋体" w:hAnsi="宋体" w:eastAsia="宋体" w:cs="宋体"/>
                <w:sz w:val="21"/>
                <w:szCs w:val="21"/>
                <w:u w:val="none"/>
              </w:rPr>
            </w:pPr>
            <w:r>
              <w:rPr>
                <w:rFonts w:hint="eastAsia" w:ascii="宋体" w:hAnsi="宋体" w:eastAsia="宋体" w:cs="宋体"/>
                <w:sz w:val="21"/>
                <w:szCs w:val="21"/>
                <w:u w:val="none"/>
              </w:rPr>
              <w:t>覆盖。</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了解内审结论是什么？</w:t>
            </w:r>
          </w:p>
          <w:p>
            <w:pPr>
              <w:spacing w:line="360" w:lineRule="auto"/>
              <w:ind w:firstLine="420" w:firstLineChars="200"/>
              <w:rPr>
                <w:rFonts w:ascii="宋体" w:hAnsi="宋体"/>
                <w:b/>
                <w:sz w:val="21"/>
                <w:szCs w:val="21"/>
              </w:rPr>
            </w:pPr>
            <w:r>
              <w:rPr>
                <w:rFonts w:hint="eastAsia" w:ascii="宋体" w:hAnsi="宋体" w:eastAsia="宋体" w:cs="宋体"/>
                <w:sz w:val="21"/>
                <w:szCs w:val="21"/>
                <w:u w:val="none"/>
              </w:rPr>
              <w:t>由于此次内审是我公司实施ISO9001:2015、ISO14001:2015、ISO45001:2018标准的实施三合一体系管理体系以来一次内审，就已审条款结果看，本公司质量/环境/职业健康安全三合一管理体系符合公司管理手册、程序性文件、ISO9001:2015、ISO14001:2015、ISO45001:2018的要求，本公司质量/环境/职业健康安全三合一管理体系得到了有效实施，运行实施保持了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eastAsia="宋体" w:cs="宋体"/>
                <w:b/>
                <w:sz w:val="21"/>
                <w:szCs w:val="21"/>
                <w:u w:val="none"/>
              </w:rPr>
            </w:pPr>
            <w:r>
              <w:rPr>
                <w:rFonts w:hint="eastAsia" w:ascii="宋体" w:hAnsi="宋体" w:eastAsia="宋体" w:cs="宋体"/>
                <w:b/>
                <w:sz w:val="21"/>
                <w:szCs w:val="21"/>
                <w:u w:val="none"/>
              </w:rPr>
              <w:t>4.管理评审（管理评审体系变更需求，纠正和预防措施、体系有效性等）</w:t>
            </w:r>
          </w:p>
          <w:p>
            <w:pPr>
              <w:spacing w:line="360" w:lineRule="auto"/>
              <w:ind w:firstLine="210" w:firstLineChars="100"/>
              <w:rPr>
                <w:rFonts w:hint="eastAsia" w:ascii="宋体" w:hAnsi="宋体" w:eastAsia="宋体" w:cs="宋体"/>
                <w:b/>
                <w:color w:val="000000" w:themeColor="text1"/>
                <w:sz w:val="21"/>
                <w:szCs w:val="21"/>
                <w:u w:val="none"/>
              </w:rPr>
            </w:pPr>
            <w:r>
              <w:rPr>
                <w:rFonts w:hint="eastAsia" w:ascii="宋体" w:hAnsi="宋体" w:eastAsia="宋体" w:cs="宋体"/>
                <w:sz w:val="21"/>
                <w:szCs w:val="21"/>
                <w:u w:val="none"/>
              </w:rPr>
              <w:t>每年一次，2019.</w:t>
            </w:r>
            <w:r>
              <w:rPr>
                <w:rFonts w:hint="eastAsia" w:ascii="宋体" w:hAnsi="宋体" w:eastAsia="宋体" w:cs="宋体"/>
                <w:sz w:val="21"/>
                <w:szCs w:val="21"/>
                <w:u w:val="none"/>
                <w:lang w:val="en-US" w:eastAsia="zh-CN"/>
              </w:rPr>
              <w:t>12</w:t>
            </w:r>
            <w:r>
              <w:rPr>
                <w:rFonts w:hint="eastAsia" w:ascii="宋体" w:hAnsi="宋体" w:eastAsia="宋体" w:cs="宋体"/>
                <w:sz w:val="21"/>
                <w:szCs w:val="21"/>
                <w:u w:val="none"/>
              </w:rPr>
              <w:t>.</w:t>
            </w:r>
            <w:r>
              <w:rPr>
                <w:rFonts w:hint="eastAsia" w:ascii="宋体" w:hAnsi="宋体" w:eastAsia="宋体" w:cs="宋体"/>
                <w:sz w:val="21"/>
                <w:szCs w:val="21"/>
                <w:u w:val="none"/>
                <w:lang w:val="en-US" w:eastAsia="zh-CN"/>
              </w:rPr>
              <w:t>30</w:t>
            </w:r>
            <w:r>
              <w:rPr>
                <w:rFonts w:hint="eastAsia" w:ascii="宋体" w:hAnsi="宋体" w:eastAsia="宋体" w:cs="宋体"/>
                <w:sz w:val="21"/>
                <w:szCs w:val="21"/>
                <w:u w:val="none"/>
              </w:rPr>
              <w:t>管理评审。</w:t>
            </w:r>
          </w:p>
          <w:p>
            <w:pPr>
              <w:spacing w:line="360" w:lineRule="auto"/>
              <w:rPr>
                <w:rFonts w:hint="eastAsia" w:ascii="宋体" w:hAnsi="宋体" w:eastAsia="宋体" w:cs="宋体"/>
                <w:b/>
                <w:color w:val="000000" w:themeColor="text1"/>
                <w:sz w:val="21"/>
                <w:szCs w:val="21"/>
                <w:u w:val="none"/>
              </w:rPr>
            </w:pPr>
            <w:r>
              <w:rPr>
                <w:rFonts w:hint="eastAsia" w:ascii="宋体" w:hAnsi="宋体" w:eastAsia="宋体" w:cs="宋体"/>
                <w:b/>
                <w:color w:val="000000" w:themeColor="text1"/>
                <w:sz w:val="21"/>
                <w:szCs w:val="21"/>
                <w:u w:val="none"/>
              </w:rPr>
              <w:t xml:space="preserve">了解管理评审输入是否充分; </w:t>
            </w:r>
          </w:p>
          <w:p>
            <w:pPr>
              <w:spacing w:line="360" w:lineRule="auto"/>
              <w:ind w:firstLine="210" w:firstLineChars="100"/>
              <w:rPr>
                <w:rFonts w:hint="eastAsia" w:ascii="宋体" w:hAnsi="宋体" w:eastAsia="宋体" w:cs="宋体"/>
                <w:sz w:val="21"/>
                <w:szCs w:val="21"/>
                <w:u w:val="none"/>
              </w:rPr>
            </w:pPr>
            <w:r>
              <w:rPr>
                <w:rFonts w:hint="eastAsia" w:ascii="宋体" w:hAnsi="宋体" w:eastAsia="宋体" w:cs="宋体"/>
                <w:sz w:val="21"/>
                <w:szCs w:val="21"/>
                <w:u w:val="none"/>
              </w:rPr>
              <w:t>输入基本充分。</w:t>
            </w:r>
          </w:p>
          <w:p>
            <w:pPr>
              <w:spacing w:line="360" w:lineRule="auto"/>
              <w:rPr>
                <w:rFonts w:hint="eastAsia" w:ascii="宋体" w:hAnsi="宋体" w:eastAsia="宋体" w:cs="宋体"/>
                <w:b/>
                <w:color w:val="000000" w:themeColor="text1"/>
                <w:sz w:val="21"/>
                <w:szCs w:val="21"/>
                <w:u w:val="none"/>
              </w:rPr>
            </w:pPr>
            <w:r>
              <w:rPr>
                <w:rFonts w:hint="eastAsia" w:ascii="宋体" w:hAnsi="宋体" w:eastAsia="宋体" w:cs="宋体"/>
                <w:b/>
                <w:color w:val="000000" w:themeColor="text1"/>
                <w:sz w:val="21"/>
                <w:szCs w:val="21"/>
                <w:u w:val="none"/>
              </w:rPr>
              <w:t xml:space="preserve">了解管理评审结论; </w:t>
            </w:r>
          </w:p>
          <w:p>
            <w:pPr>
              <w:spacing w:line="360" w:lineRule="auto"/>
              <w:rPr>
                <w:rFonts w:ascii="宋体" w:hAnsi="宋体"/>
                <w:b/>
                <w:sz w:val="21"/>
                <w:szCs w:val="21"/>
              </w:rPr>
            </w:pPr>
            <w:r>
              <w:rPr>
                <w:rFonts w:hint="eastAsia" w:ascii="宋体" w:hAnsi="宋体" w:eastAsia="宋体" w:cs="宋体"/>
                <w:sz w:val="21"/>
                <w:szCs w:val="21"/>
                <w:u w:val="none"/>
              </w:rPr>
              <w:t>　质量、环境和职业健康安全管理体系在我公司具有持续的适宜性、充分性和有效性，能够使质量、环境和职业健康安全管理体系进一步完善。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360" w:lineRule="auto"/>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360" w:lineRule="auto"/>
              <w:ind w:leftChars="0"/>
              <w:rPr>
                <w:rFonts w:hint="eastAsia" w:ascii="宋体" w:hAnsi="宋体" w:eastAsia="宋体"/>
                <w:b/>
                <w:sz w:val="21"/>
                <w:szCs w:val="21"/>
                <w:lang w:val="en-US" w:eastAsia="zh-CN"/>
              </w:rPr>
            </w:pP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360" w:lineRule="auto"/>
              <w:ind w:firstLine="420" w:firstLineChars="200"/>
              <w:rPr>
                <w:rFonts w:hint="eastAsia" w:ascii="宋体" w:hAnsi="宋体" w:eastAsia="宋体"/>
                <w:b/>
                <w:sz w:val="21"/>
                <w:szCs w:val="21"/>
                <w:lang w:val="en-US" w:eastAsia="zh-CN"/>
              </w:rPr>
            </w:pP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60" w:lineRule="auto"/>
              <w:ind w:firstLine="420" w:firstLineChars="200"/>
              <w:rPr>
                <w:rFonts w:ascii="宋体" w:hAnsi="宋体"/>
                <w:b/>
                <w:sz w:val="21"/>
                <w:szCs w:val="21"/>
              </w:rPr>
            </w:pPr>
            <w:r>
              <w:rPr>
                <w:rFonts w:hint="eastAsia" w:ascii="宋体" w:hAnsi="宋体"/>
                <w:b w:val="0"/>
                <w:bCs/>
                <w:sz w:val="21"/>
                <w:szCs w:val="21"/>
              </w:rPr>
              <w:t>提供职业健康安全关键岗位工作人员进行健康体检的证据，符合要求。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8.OHSMS国家/地方职业健康安全部门监督检查情况及措施</w:t>
            </w:r>
          </w:p>
          <w:p>
            <w:pPr>
              <w:spacing w:line="360" w:lineRule="auto"/>
              <w:rPr>
                <w:rFonts w:ascii="宋体" w:hAnsi="宋体"/>
                <w:b/>
                <w:sz w:val="21"/>
                <w:szCs w:val="21"/>
              </w:rPr>
            </w:pPr>
            <w:r>
              <w:rPr>
                <w:rFonts w:hint="eastAsia" w:asciiTheme="minorEastAsia" w:hAnsiTheme="minorEastAsia" w:eastAsiaTheme="minorEastAsia"/>
                <w:szCs w:val="22"/>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numPr>
                <w:ilvl w:val="0"/>
                <w:numId w:val="0"/>
              </w:numPr>
              <w:spacing w:line="360" w:lineRule="auto"/>
              <w:rPr>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其他能够标明组织绩效、信誉的证据/信息：</w:t>
            </w:r>
          </w:p>
          <w:p>
            <w:pPr>
              <w:widowControl/>
              <w:spacing w:line="360" w:lineRule="auto"/>
              <w:rPr>
                <w:rFonts w:ascii="宋体" w:hAnsi="宋体"/>
                <w:b/>
                <w:sz w:val="21"/>
                <w:szCs w:val="21"/>
              </w:rPr>
            </w:pPr>
            <w:r>
              <w:rPr>
                <w:rFonts w:hint="eastAsia" w:asciiTheme="minorEastAsia" w:hAnsiTheme="minorEastAsia" w:eastAsiaTheme="minorEastAsia"/>
                <w:szCs w:val="22"/>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ascii="宋体" w:hAnsi="宋体"/>
                <w:b/>
                <w:sz w:val="21"/>
                <w:szCs w:val="21"/>
              </w:rPr>
            </w:pPr>
            <w:r>
              <w:rPr>
                <w:rFonts w:hint="eastAsia" w:asciiTheme="minorEastAsia" w:hAnsiTheme="minorEastAsia" w:eastAsiaTheme="minorEastAsia"/>
                <w:b w:val="0"/>
                <w:bCs w:val="0"/>
                <w:sz w:val="21"/>
                <w:szCs w:val="21"/>
                <w:u w:val="none"/>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asciiTheme="minorEastAsia" w:hAnsiTheme="minorEastAsia" w:eastAsiaTheme="minorEastAsia"/>
                <w:szCs w:val="22"/>
                <w:u w:val="single"/>
              </w:rPr>
              <w:t>未发生。</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360" w:lineRule="auto"/>
              <w:rPr>
                <w:rFonts w:hint="eastAsia" w:ascii="宋体" w:hAnsi="宋体"/>
                <w:b/>
                <w:sz w:val="21"/>
                <w:szCs w:val="21"/>
              </w:rPr>
            </w:pPr>
            <w:r>
              <w:rPr>
                <w:rFonts w:hint="eastAsia" w:ascii="宋体" w:hAnsi="宋体"/>
                <w:b/>
                <w:sz w:val="21"/>
                <w:szCs w:val="21"/>
              </w:rPr>
              <w:t>创新情况</w:t>
            </w:r>
          </w:p>
          <w:p>
            <w:pPr>
              <w:numPr>
                <w:ilvl w:val="0"/>
                <w:numId w:val="0"/>
              </w:numPr>
              <w:spacing w:line="360" w:lineRule="auto"/>
              <w:rPr>
                <w:rFonts w:hint="eastAsia" w:ascii="宋体" w:hAnsi="宋体" w:eastAsia="宋体"/>
                <w:b/>
                <w:sz w:val="21"/>
                <w:szCs w:val="21"/>
                <w:lang w:val="en-US" w:eastAsia="zh-CN"/>
              </w:rPr>
            </w:pP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360" w:lineRule="auto"/>
              <w:ind w:left="0" w:leftChars="0" w:firstLine="0" w:firstLineChars="0"/>
              <w:rPr>
                <w:rFonts w:hint="eastAsia" w:ascii="宋体" w:hAnsi="宋体"/>
                <w:b/>
                <w:sz w:val="21"/>
                <w:szCs w:val="21"/>
              </w:rPr>
            </w:pPr>
            <w:r>
              <w:rPr>
                <w:rFonts w:hint="eastAsia" w:ascii="宋体" w:hAnsi="宋体"/>
                <w:b/>
                <w:sz w:val="21"/>
                <w:szCs w:val="21"/>
              </w:rPr>
              <w:t>上次不符合的整改情</w:t>
            </w:r>
          </w:p>
          <w:p>
            <w:pPr>
              <w:spacing w:line="360" w:lineRule="auto"/>
              <w:rPr>
                <w:rFonts w:ascii="宋体" w:hAnsi="宋体"/>
                <w:b/>
                <w:sz w:val="21"/>
                <w:szCs w:val="21"/>
              </w:rPr>
            </w:pPr>
            <w:r>
              <w:rPr>
                <w:rFonts w:hint="eastAsia" w:ascii="宋体" w:hAnsi="宋体"/>
                <w:b w:val="0"/>
                <w:bCs/>
                <w:sz w:val="21"/>
                <w:szCs w:val="21"/>
              </w:rPr>
              <w:t>上次</w:t>
            </w:r>
            <w:r>
              <w:rPr>
                <w:rFonts w:hint="eastAsia" w:ascii="宋体" w:hAnsi="宋体"/>
                <w:b w:val="0"/>
                <w:bCs/>
                <w:sz w:val="21"/>
                <w:szCs w:val="21"/>
                <w:lang w:val="en-US" w:eastAsia="zh-CN"/>
              </w:rPr>
              <w:t>审核的</w:t>
            </w:r>
            <w:r>
              <w:rPr>
                <w:rFonts w:hint="eastAsia" w:ascii="宋体" w:hAnsi="宋体"/>
                <w:b w:val="0"/>
                <w:bCs/>
                <w:sz w:val="21"/>
                <w:szCs w:val="21"/>
              </w:rPr>
              <w:t>不符合</w:t>
            </w:r>
            <w:r>
              <w:rPr>
                <w:rFonts w:hint="eastAsia" w:ascii="宋体" w:hAnsi="宋体"/>
                <w:b w:val="0"/>
                <w:bCs/>
                <w:sz w:val="21"/>
                <w:szCs w:val="21"/>
                <w:lang w:val="en-US" w:eastAsia="zh-CN"/>
              </w:rPr>
              <w:t>项已完成整改。</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2</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360" w:lineRule="auto"/>
              <w:ind w:firstLine="210" w:firstLineChars="100"/>
              <w:rPr>
                <w:rFonts w:ascii="宋体" w:hAnsi="宋体"/>
                <w:b w:val="0"/>
                <w:bCs/>
                <w:sz w:val="21"/>
                <w:szCs w:val="21"/>
              </w:rPr>
            </w:pPr>
            <w:r>
              <w:rPr>
                <w:rFonts w:hint="eastAsia" w:ascii="宋体" w:hAnsi="宋体"/>
                <w:b w:val="0"/>
                <w:bCs/>
                <w:sz w:val="21"/>
                <w:szCs w:val="21"/>
              </w:rPr>
              <w:t>组织体系运行满足标准要求，既定目标能达成，满足适用的环境法规要求，防止环境污染事故，对周边环境没有产生不利影响，实施措施基本有效。体系运行基本适宜、充分、有效，基本建立自我完善机制。</w:t>
            </w:r>
          </w:p>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default"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val="0"/>
          <w:bCs/>
          <w:sz w:val="24"/>
          <w:szCs w:val="24"/>
          <w:lang w:val="en-US" w:eastAsia="zh-CN"/>
        </w:rPr>
        <w:t>本次审核为远程，相关内容待疫情过后现场确认并进一步审核。</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00" w:firstLineChars="250"/>
        <w:rPr>
          <w:b/>
          <w:sz w:val="21"/>
        </w:rPr>
      </w:pPr>
      <w:r>
        <w:drawing>
          <wp:anchor distT="0" distB="0" distL="114300" distR="114300" simplePos="0" relativeHeight="251659264" behindDoc="0" locked="0" layoutInCell="1" allowOverlap="1">
            <wp:simplePos x="0" y="0"/>
            <wp:positionH relativeFrom="column">
              <wp:posOffset>1978660</wp:posOffset>
            </wp:positionH>
            <wp:positionV relativeFrom="paragraph">
              <wp:posOffset>3810</wp:posOffset>
            </wp:positionV>
            <wp:extent cx="340995" cy="269875"/>
            <wp:effectExtent l="0" t="0" r="190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40995" cy="269875"/>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738" w:firstLineChars="3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31</w:t>
      </w:r>
      <w:r>
        <w:rPr>
          <w:rFonts w:hint="eastAsia" w:ascii="宋体" w:hAnsi="宋体"/>
          <w:b/>
          <w:sz w:val="21"/>
          <w:szCs w:val="21"/>
        </w:rPr>
        <w:t>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rFonts w:hint="eastAsia"/>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b/>
          <w:sz w:val="21"/>
          <w:szCs w:val="21"/>
          <w:u w:val="single"/>
        </w:rPr>
      </w:pPr>
      <w:r>
        <w:drawing>
          <wp:anchor distT="0" distB="0" distL="114300" distR="114300" simplePos="0" relativeHeight="251661312" behindDoc="0" locked="0" layoutInCell="1" allowOverlap="1">
            <wp:simplePos x="0" y="0"/>
            <wp:positionH relativeFrom="column">
              <wp:posOffset>1302385</wp:posOffset>
            </wp:positionH>
            <wp:positionV relativeFrom="paragraph">
              <wp:posOffset>22225</wp:posOffset>
            </wp:positionV>
            <wp:extent cx="340995" cy="269875"/>
            <wp:effectExtent l="0" t="0" r="190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40995" cy="269875"/>
                    </a:xfrm>
                    <a:prstGeom prst="rect">
                      <a:avLst/>
                    </a:prstGeom>
                    <a:noFill/>
                    <a:ln>
                      <a:noFill/>
                    </a:ln>
                  </pic:spPr>
                </pic:pic>
              </a:graphicData>
            </a:graphic>
          </wp:anchor>
        </w:drawing>
      </w:r>
      <w:r>
        <w:rPr>
          <w:rFonts w:hint="eastAsia"/>
          <w:b/>
          <w:sz w:val="21"/>
          <w:szCs w:val="21"/>
        </w:rPr>
        <w:t>组长签字：</w:t>
      </w:r>
    </w:p>
    <w:p>
      <w:pPr>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15A063"/>
    <w:multiLevelType w:val="singleLevel"/>
    <w:tmpl w:val="B515A063"/>
    <w:lvl w:ilvl="0" w:tentative="0">
      <w:start w:val="3"/>
      <w:numFmt w:val="decimal"/>
      <w:suff w:val="space"/>
      <w:lvlText w:val="%1."/>
      <w:lvlJc w:val="left"/>
    </w:lvl>
  </w:abstractNum>
  <w:abstractNum w:abstractNumId="1">
    <w:nsid w:val="E48FD461"/>
    <w:multiLevelType w:val="singleLevel"/>
    <w:tmpl w:val="E48FD461"/>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314A97FB"/>
    <w:multiLevelType w:val="singleLevel"/>
    <w:tmpl w:val="314A97FB"/>
    <w:lvl w:ilvl="0" w:tentative="0">
      <w:start w:val="3"/>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1C5CD5"/>
    <w:rsid w:val="15DF721E"/>
    <w:rsid w:val="1BD14108"/>
    <w:rsid w:val="40A35989"/>
    <w:rsid w:val="5177748D"/>
    <w:rsid w:val="55A750B0"/>
    <w:rsid w:val="60D4029A"/>
    <w:rsid w:val="6C8113AF"/>
    <w:rsid w:val="6CB02EBB"/>
    <w:rsid w:val="71E055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0"/>
    <w:semiHidden/>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qFormat/>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7</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2020-10-20T21:17:04Z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