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0040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1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浮球式液位计电流信号检验过程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生产</w:t>
            </w:r>
            <w:r>
              <w:rPr>
                <w:rFonts w:hint="eastAsia" w:ascii="Times New Roman" w:hAnsi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4-20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0.03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</w:t>
            </w:r>
            <w:r>
              <w:rPr>
                <w:rFonts w:hint="eastAsia" w:ascii="Times New Roman" w:hAnsi="Times New Roman"/>
              </w:rPr>
              <w:t>mA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 w:ascii="Times New Roman" w:hAnsi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数字万</w:t>
            </w:r>
            <w:r>
              <w:rPr>
                <w:rFonts w:ascii="Times New Roman" w:hAnsi="Times New Roman" w:cs="Times New Roman"/>
                <w:szCs w:val="21"/>
              </w:rPr>
              <w:t>用表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（0-20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 w:ascii="Times New Roman" w:hAnsi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）</w:t>
            </w:r>
            <w:bookmarkStart w:id="0" w:name="_GoBack"/>
            <w:bookmarkEnd w:id="0"/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DJKJ</w:t>
            </w:r>
            <w:r>
              <w:rPr>
                <w:b w:val="0"/>
                <w:bCs/>
                <w:sz w:val="21"/>
                <w:szCs w:val="21"/>
              </w:rPr>
              <w:t>-CLGF2019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浮球式液位计电流信号检验过程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控制规范》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Q/01DJKJ01—2018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  <w:t>浮球式液位计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企业标准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》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赵窑林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浮球式液位计电流信号检验过程</w:t>
            </w:r>
            <w:r>
              <w:rPr>
                <w:rFonts w:hint="eastAsia" w:ascii="Times New Roman" w:hAnsi="Times New Roman"/>
                <w:szCs w:val="21"/>
              </w:rPr>
              <w:t>不确定度评定》附录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浮球式液位计电流信号检验过程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0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浮球式液位计电流信号检验过程</w:t>
            </w:r>
            <w:r>
              <w:rPr>
                <w:rFonts w:hint="eastAsia" w:ascii="Times New Roman" w:hAnsi="Times New Roman"/>
              </w:rPr>
              <w:t>监视统计记录及控制图》附录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浮球式液位计电流信号检验过程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 日 审核员： 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4" name="图片 1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614045"/>
            <wp:effectExtent l="0" t="0" r="0" b="15240"/>
            <wp:docPr id="3" name="图片 3" descr="邢寻省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邢寻省签名2"/>
                    <pic:cNvPicPr>
                      <a:picLocks noChangeAspect="1"/>
                    </pic:cNvPicPr>
                  </pic:nvPicPr>
                  <pic:blipFill>
                    <a:blip r:embed="rId6"/>
                    <a:srcRect l="8422" r="8598" b="2894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2297"/>
    <w:rsid w:val="00052297"/>
    <w:rsid w:val="00174B5D"/>
    <w:rsid w:val="001A19A7"/>
    <w:rsid w:val="00522B47"/>
    <w:rsid w:val="0067353D"/>
    <w:rsid w:val="00B82DD6"/>
    <w:rsid w:val="00C75ABE"/>
    <w:rsid w:val="00C816F2"/>
    <w:rsid w:val="02663F3C"/>
    <w:rsid w:val="0F2A011F"/>
    <w:rsid w:val="1066621C"/>
    <w:rsid w:val="16170432"/>
    <w:rsid w:val="18C64E66"/>
    <w:rsid w:val="19F01FB7"/>
    <w:rsid w:val="1EA57B71"/>
    <w:rsid w:val="22F94476"/>
    <w:rsid w:val="308C30A5"/>
    <w:rsid w:val="329825C1"/>
    <w:rsid w:val="395426B2"/>
    <w:rsid w:val="3C977CC4"/>
    <w:rsid w:val="42A11015"/>
    <w:rsid w:val="434D67DB"/>
    <w:rsid w:val="47D638DA"/>
    <w:rsid w:val="495B7BBF"/>
    <w:rsid w:val="4A61141E"/>
    <w:rsid w:val="633E7A7D"/>
    <w:rsid w:val="670D7C94"/>
    <w:rsid w:val="6E887D8F"/>
    <w:rsid w:val="7B3B121C"/>
    <w:rsid w:val="7D375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2020-03-21T07:08:30Z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