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0406-2020-QEO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val="0"/>
          <w:bCs/>
          <w:color w:val="000000" w:themeColor="text1"/>
          <w:sz w:val="30"/>
          <w:szCs w:val="30"/>
        </w:rPr>
      </w:pPr>
      <w:r>
        <w:rPr>
          <w:rFonts w:hint="eastAsia" w:eastAsia="隶书"/>
          <w:b w:val="0"/>
          <w:bCs/>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霸州市松达五金制品有限公司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Bazhou Songda Hardware Products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河北省廊坊市霸州市康仙庄乡于崔庄村</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065700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(英文)：Kang Xian Zhuang Xiang Yu Cui Zhuang Cun, Bazhou City, Langfang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河北省廊坊市霸州市康仙庄乡于崔庄村</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065700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(英文)：Kang Xian Zhuang Xiang Yu Cui Zhuang Cun, Bazhou City, Langfang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911310810972954304</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18410259001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王松涛</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张力华</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Q：五金冲压件、机电配件和家具配件的生产及销售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 xml:space="preserve">英文：Production and sales of Hardware stamping parts, mechanical and electrical accessories and furniture accessories </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E：五金冲压件、机电配件和家具配件的生产及销售及相关环境管理活动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Hardware stamping parts, mechanical and electrical accessories and furniture accessories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O：五金冲压件、机电配件和家具配件的生产及销售及相关职业健康安全管理活动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and sales of Hardware stamping parts, mechanical and electrical accessories and furniture accessories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bookmarkStart w:id="16" w:name="_GoBack"/>
      <w:bookmarkEnd w:id="16"/>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DF56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2020-08-28T02:46:27Z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