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0452-2020-QEO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北京利源百发商贸有限公司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Q:29.07.09</w:t>
            </w:r>
          </w:p>
          <w:p>
            <w:pPr>
              <w:spacing w:line="240" w:lineRule="exact"/>
              <w:jc w:val="center"/>
              <w:rPr>
                <w:b/>
                <w:color w:val="000000"/>
                <w:sz w:val="20"/>
                <w:szCs w:val="20"/>
              </w:rPr>
            </w:pPr>
            <w:r>
              <w:rPr>
                <w:b/>
                <w:color w:val="000000"/>
                <w:sz w:val="20"/>
                <w:szCs w:val="20"/>
              </w:rPr>
              <w:t>E:29.07.09</w:t>
            </w:r>
          </w:p>
          <w:p>
            <w:pPr>
              <w:spacing w:line="240" w:lineRule="exact"/>
              <w:jc w:val="center"/>
              <w:rPr>
                <w:b/>
                <w:color w:val="000000"/>
                <w:sz w:val="20"/>
                <w:szCs w:val="20"/>
              </w:rPr>
            </w:pPr>
            <w:r>
              <w:rPr>
                <w:b/>
                <w:color w:val="000000"/>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45001</w:t>
      </w:r>
      <w:r>
        <w:rPr>
          <w:rFonts w:ascii="宋体" w:hAnsi="宋体"/>
          <w:b/>
          <w:color w:val="000000"/>
          <w:sz w:val="20"/>
          <w:szCs w:val="20"/>
          <w:lang w:val="de-DE"/>
        </w:rPr>
        <w:t>-20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北京利源百发商贸有限公司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北京市丰台区新发地银地西路18号北水嘉伦市场院内D厅01号房间</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100160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北京市丰台区新发地银地西路18号北水嘉伦市场院内D厅01号房间</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100160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杨跃</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18601128274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韩明波</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杨跃</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260039239@qq.com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Q：许可范围内预包装食品（含冷藏冷冻食品）的销售；鲜肉、鲜蛋、干鲜果品、蔬菜、粮油、水产品、调味品的销售</w:t>
            </w:r>
          </w:p>
          <w:p>
            <w:pPr>
              <w:spacing w:line="400" w:lineRule="exact"/>
              <w:rPr>
                <w:rFonts w:ascii="宋体" w:hAnsi="宋体"/>
                <w:b/>
                <w:color w:val="000000"/>
                <w:sz w:val="20"/>
                <w:szCs w:val="20"/>
              </w:rPr>
            </w:pPr>
            <w:r>
              <w:rPr>
                <w:rFonts w:ascii="宋体" w:hAnsi="宋体"/>
                <w:b/>
                <w:color w:val="000000"/>
                <w:sz w:val="20"/>
                <w:szCs w:val="20"/>
              </w:rPr>
              <w:t>E：许可范围内预包装食品（含冷藏冷冻食品）的销售；鲜肉、鲜蛋、干鲜果品、蔬菜、粮油、水产品、调味品的销售及相关环境管理活动</w:t>
            </w:r>
          </w:p>
          <w:p>
            <w:pPr>
              <w:spacing w:line="400" w:lineRule="exact"/>
              <w:rPr>
                <w:rFonts w:ascii="宋体" w:hAnsi="宋体"/>
                <w:b/>
                <w:color w:val="000000"/>
                <w:sz w:val="20"/>
                <w:szCs w:val="20"/>
              </w:rPr>
            </w:pPr>
            <w:r>
              <w:rPr>
                <w:rFonts w:ascii="宋体" w:hAnsi="宋体"/>
                <w:b/>
                <w:color w:val="000000"/>
                <w:sz w:val="20"/>
                <w:szCs w:val="20"/>
              </w:rPr>
              <w:t>O：许可范围内预包装食品（含冷藏冷冻食品）的销售；鲜肉、鲜蛋、干鲜果品、蔬菜、粮油、水产品、调味品的销售及相关职业健康安全管理活动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Q：29.07.09</w:t>
            </w:r>
          </w:p>
          <w:p>
            <w:pPr>
              <w:spacing w:line="280" w:lineRule="exact"/>
              <w:rPr>
                <w:rFonts w:ascii="宋体"/>
                <w:b/>
                <w:color w:val="000000"/>
                <w:sz w:val="20"/>
                <w:szCs w:val="20"/>
              </w:rPr>
            </w:pPr>
            <w:r>
              <w:rPr>
                <w:rFonts w:ascii="宋体"/>
                <w:b/>
                <w:color w:val="000000"/>
                <w:sz w:val="20"/>
                <w:szCs w:val="20"/>
              </w:rPr>
              <w:t>E：29.07.09</w:t>
            </w:r>
          </w:p>
          <w:p>
            <w:pPr>
              <w:spacing w:line="280" w:lineRule="exact"/>
              <w:rPr>
                <w:rFonts w:ascii="宋体"/>
                <w:b/>
                <w:color w:val="000000"/>
                <w:sz w:val="20"/>
                <w:szCs w:val="20"/>
              </w:rPr>
            </w:pPr>
            <w:r>
              <w:rPr>
                <w:rFonts w:ascii="宋体"/>
                <w:b/>
                <w:color w:val="000000"/>
                <w:sz w:val="20"/>
                <w:szCs w:val="20"/>
              </w:rPr>
              <w:t>O：29.07.09</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lang w:val="en-US" w:eastAsia="zh-CN"/>
        </w:rPr>
        <w:t>手册、程序文件、管理评审、内审、危险源识别、环境因素等；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Theme="minorEastAsia" w:hAnsiTheme="minorEastAsia" w:eastAsiaTheme="minorEastAsia" w:cstheme="minorEastAsia"/>
          <w:color w:val="auto"/>
          <w:kern w:val="2"/>
          <w:sz w:val="21"/>
          <w:szCs w:val="21"/>
          <w:lang w:val="en-US" w:eastAsia="zh-CN" w:bidi="ar"/>
        </w:rPr>
        <w:t>综合部、销售部、管理层</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Theme="minorEastAsia" w:hAnsiTheme="minorEastAsia" w:eastAsiaTheme="minorEastAsia" w:cstheme="minorEastAsia"/>
          <w:color w:val="auto"/>
          <w:kern w:val="2"/>
          <w:sz w:val="21"/>
          <w:szCs w:val="21"/>
          <w:lang w:val="en-US" w:eastAsia="zh-CN" w:bidi="ar"/>
        </w:rPr>
        <w:t>库房、办公室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FF0000"/>
                <w:spacing w:val="-10"/>
                <w:sz w:val="20"/>
                <w:szCs w:val="20"/>
              </w:rPr>
              <w:sym w:font="Wingdings 2" w:char="0052"/>
            </w:r>
            <w:r>
              <w:rPr>
                <w:rFonts w:hint="eastAsia" w:ascii="宋体" w:hAnsi="宋体"/>
                <w:color w:val="FF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jc w:val="left"/>
              <w:rPr>
                <w:rFonts w:ascii="宋体" w:hAnsi="宋体"/>
                <w:b/>
                <w:color w:val="000000" w:themeColor="text1"/>
                <w:sz w:val="20"/>
                <w:szCs w:val="20"/>
                <w:u w:val="single"/>
              </w:rPr>
            </w:pPr>
            <w:r>
              <w:rPr>
                <w:rFonts w:ascii="宋体" w:hAnsi="宋体"/>
                <w:b/>
                <w:color w:val="000000" w:themeColor="text1"/>
                <w:sz w:val="20"/>
                <w:szCs w:val="20"/>
              </w:rPr>
              <w:t>Q：许可范围内预包装食品（含冷藏冷冻食品）的销售；鲜肉、鲜蛋、干鲜果品、蔬菜、粮油、水产品、调味品的销售</w:t>
            </w:r>
          </w:p>
          <w:p>
            <w:pPr>
              <w:spacing w:line="320" w:lineRule="exact"/>
              <w:jc w:val="left"/>
              <w:rPr>
                <w:rFonts w:ascii="宋体" w:hAnsi="宋体"/>
                <w:b/>
                <w:color w:val="000000" w:themeColor="text1"/>
                <w:sz w:val="20"/>
                <w:szCs w:val="20"/>
              </w:rPr>
            </w:pPr>
            <w:r>
              <w:rPr>
                <w:rFonts w:ascii="宋体" w:hAnsi="宋体"/>
                <w:b/>
                <w:color w:val="000000" w:themeColor="text1"/>
                <w:sz w:val="20"/>
                <w:szCs w:val="20"/>
              </w:rPr>
              <w:t>E：许可范围内预包装食品（含冷藏冷冻食品）的销售；鲜肉、鲜蛋、干鲜果品、蔬菜、粮油、水产品、调味品的销售及相关环境管理活动</w:t>
            </w:r>
          </w:p>
          <w:p>
            <w:pPr>
              <w:tabs>
                <w:tab w:val="left" w:pos="360"/>
              </w:tabs>
              <w:ind w:left="360" w:hanging="360"/>
              <w:jc w:val="left"/>
              <w:rPr>
                <w:rFonts w:ascii="宋体"/>
                <w:b/>
                <w:color w:val="000000"/>
                <w:sz w:val="20"/>
                <w:szCs w:val="20"/>
              </w:rPr>
            </w:pPr>
            <w:r>
              <w:rPr>
                <w:rFonts w:ascii="宋体" w:hAnsi="宋体"/>
                <w:b/>
                <w:color w:val="000000" w:themeColor="text1"/>
                <w:sz w:val="20"/>
                <w:szCs w:val="20"/>
              </w:rPr>
              <w:t>O：许可范围内预包装食品（含冷藏冷冻食品）的销售；鲜肉、鲜蛋、干鲜果品、蔬菜、粮油、水产品、调味品的销售及相关职业健康安全管理活动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heme="minorEastAsia" w:hAnsiTheme="minorEastAsia" w:eastAsiaTheme="minorEastAsia" w:cstheme="minorEastAsia"/>
                <w:color w:val="auto"/>
                <w:kern w:val="2"/>
                <w:sz w:val="21"/>
                <w:szCs w:val="21"/>
                <w:lang w:val="en-US" w:eastAsia="zh-CN" w:bidi="ar"/>
              </w:rPr>
              <w:t>综合部、销售部、管理层</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heme="minorEastAsia" w:hAnsiTheme="minorEastAsia" w:eastAsiaTheme="minorEastAsia" w:cstheme="minorEastAsia"/>
                <w:color w:val="auto"/>
                <w:kern w:val="2"/>
                <w:sz w:val="21"/>
                <w:szCs w:val="21"/>
                <w:lang w:val="en-US" w:eastAsia="zh-CN" w:bidi="ar"/>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heme="minorEastAsia" w:hAnsiTheme="minorEastAsia" w:eastAsiaTheme="minorEastAsia" w:cstheme="minorEastAsia"/>
                <w:color w:val="auto"/>
                <w:kern w:val="2"/>
                <w:sz w:val="21"/>
                <w:szCs w:val="21"/>
                <w:lang w:val="en-US" w:eastAsia="zh-CN" w:bidi="ar"/>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Theme="minorEastAsia" w:hAnsiTheme="minorEastAsia" w:eastAsiaTheme="minorEastAsia" w:cstheme="minorEastAsia"/>
                <w:color w:val="auto"/>
                <w:kern w:val="2"/>
                <w:sz w:val="21"/>
                <w:szCs w:val="21"/>
                <w:lang w:val="en-US" w:eastAsia="zh-CN" w:bidi="ar"/>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Theme="minorEastAsia" w:hAnsiTheme="minorEastAsia" w:eastAsiaTheme="minorEastAsia" w:cstheme="minorEastAsia"/>
                <w:color w:val="auto"/>
                <w:kern w:val="2"/>
                <w:sz w:val="21"/>
                <w:szCs w:val="21"/>
                <w:lang w:val="en-US" w:eastAsia="zh-CN" w:bidi="ar"/>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Style w:val="15"/>
                <w:rFonts w:hint="eastAsia" w:ascii="Arial" w:hAnsi="Arial" w:cs="Arial"/>
                <w:color w:val="auto"/>
                <w:szCs w:val="22"/>
                <w:highlight w:val="none"/>
                <w:shd w:val="clear" w:color="auto" w:fill="FFFFFF"/>
              </w:rPr>
            </w:pPr>
            <w:bookmarkStart w:id="24" w:name="_GoBack"/>
            <w:r>
              <w:rPr>
                <w:rStyle w:val="15"/>
                <w:rFonts w:hint="eastAsia" w:ascii="Arial" w:hAnsi="Arial" w:cs="Arial"/>
                <w:color w:val="auto"/>
                <w:szCs w:val="22"/>
                <w:highlight w:val="none"/>
                <w:shd w:val="clear" w:color="auto" w:fill="FFFFFF"/>
              </w:rPr>
              <w:t>销售：客户接触----合同评审----签订合同-----客户付款------入帐------采购-----客户提货-----验收</w:t>
            </w:r>
          </w:p>
          <w:p>
            <w:pPr>
              <w:spacing w:line="360" w:lineRule="auto"/>
              <w:rPr>
                <w:rFonts w:ascii="宋体"/>
                <w:color w:val="000000"/>
                <w:sz w:val="20"/>
                <w:szCs w:val="20"/>
              </w:rPr>
            </w:pPr>
            <w:r>
              <w:rPr>
                <w:rStyle w:val="15"/>
                <w:rFonts w:hint="eastAsia" w:ascii="Arial" w:hAnsi="Arial" w:cs="Arial"/>
                <w:color w:val="auto"/>
                <w:szCs w:val="22"/>
                <w:highlight w:val="none"/>
                <w:shd w:val="clear" w:color="auto" w:fill="FFFFFF"/>
              </w:rPr>
              <w:t>公司外包过程</w:t>
            </w:r>
            <w:r>
              <w:rPr>
                <w:rStyle w:val="15"/>
                <w:rFonts w:hint="eastAsia" w:ascii="Arial" w:hAnsi="Arial" w:cs="Arial"/>
                <w:color w:val="auto"/>
                <w:szCs w:val="22"/>
                <w:highlight w:val="none"/>
                <w:shd w:val="clear" w:color="auto" w:fill="FFFFFF"/>
                <w:lang w:eastAsia="zh-CN"/>
              </w:rPr>
              <w:t>：货物运输</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宋体"/>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eastAsia="宋体" w:cs="宋体"/>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spacing w:line="24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b w:val="0"/>
                <w:bCs/>
                <w:color w:val="auto"/>
                <w:sz w:val="21"/>
                <w:szCs w:val="21"/>
                <w:lang w:val="en-US" w:eastAsia="zh-CN"/>
              </w:rPr>
              <w:t>销售信息登记电脑、仓库或货架、</w:t>
            </w:r>
            <w:r>
              <w:rPr>
                <w:rFonts w:hint="eastAsia"/>
                <w:color w:val="auto"/>
              </w:rPr>
              <w:t>监控设备、</w:t>
            </w:r>
            <w:r>
              <w:rPr>
                <w:rFonts w:hint="eastAsia" w:asciiTheme="minorEastAsia" w:hAnsiTheme="minorEastAsia" w:eastAsiaTheme="minorEastAsia" w:cstheme="minorEastAsia"/>
                <w:color w:val="auto"/>
                <w:sz w:val="21"/>
                <w:szCs w:val="21"/>
                <w:lang w:val="en-US" w:eastAsia="zh-CN"/>
              </w:rPr>
              <w:t>冷冻设备、</w:t>
            </w:r>
            <w:r>
              <w:rPr>
                <w:rFonts w:hint="eastAsia" w:asciiTheme="minorEastAsia" w:hAnsiTheme="minorEastAsia" w:eastAsiaTheme="minorEastAsia" w:cstheme="minorEastAsia"/>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Theme="minorEastAsia" w:hAnsiTheme="minorEastAsia" w:eastAsiaTheme="minorEastAsia" w:cstheme="minorEastAsia"/>
                <w:b w:val="0"/>
                <w:bCs/>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w:t>
            </w:r>
            <w:r>
              <w:rPr>
                <w:rFonts w:hint="eastAsia"/>
                <w:lang w:eastAsia="zh-CN"/>
              </w:rPr>
              <w:t>摄像头等</w:t>
            </w:r>
            <w:r>
              <w:rPr>
                <w:rFonts w:hint="eastAsia" w:asciiTheme="minorEastAsia" w:hAnsiTheme="minorEastAsia" w:eastAsiaTheme="minorEastAsia" w:cstheme="minorEastAsia"/>
                <w:b w:val="0"/>
                <w:bCs/>
                <w:color w:val="auto"/>
                <w:sz w:val="21"/>
                <w:szCs w:val="21"/>
                <w:lang w:val="en-US" w:eastAsia="zh-CN"/>
              </w:rPr>
              <w:t>监视设备，销售人员考核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A3"/>
            </w:r>
            <w:r>
              <w:rPr>
                <w:rFonts w:hint="eastAsia" w:ascii="宋体"/>
                <w:color w:val="000000"/>
                <w:sz w:val="20"/>
                <w:szCs w:val="20"/>
              </w:rPr>
              <w:t>是□否</w:t>
            </w:r>
            <w:r>
              <w:rPr>
                <w:rFonts w:hint="eastAsia" w:ascii="宋体"/>
                <w:color w:val="000000"/>
                <w:sz w:val="20"/>
                <w:szCs w:val="20"/>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b w:val="0"/>
                <w:bCs/>
                <w:color w:val="auto"/>
                <w:sz w:val="21"/>
                <w:szCs w:val="21"/>
                <w:lang w:val="en-US" w:eastAsia="zh-CN"/>
              </w:rPr>
              <w:t>火灾后发生的环境影响、过期食品或包装物产生的固废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bCs/>
                <w:szCs w:val="21"/>
              </w:rPr>
              <w:t>对</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等</w:t>
            </w:r>
            <w:r>
              <w:rPr>
                <w:rFonts w:hint="eastAsia"/>
                <w:bCs/>
                <w:szCs w:val="21"/>
              </w:rPr>
              <w:t>进行了识别和控制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w:t>
            </w:r>
            <w:r>
              <w:rPr>
                <w:rFonts w:hint="eastAsia" w:ascii="宋体"/>
                <w:color w:val="000000"/>
                <w:sz w:val="20"/>
                <w:szCs w:val="20"/>
              </w:rPr>
              <w:sym w:font="Wingdings 2" w:char="00A3"/>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auto"/>
                <w:sz w:val="20"/>
                <w:szCs w:val="20"/>
              </w:rPr>
            </w:pPr>
            <w:r>
              <w:rPr>
                <w:rFonts w:hint="eastAsia" w:ascii="宋体"/>
                <w:color w:val="auto"/>
                <w:sz w:val="20"/>
                <w:szCs w:val="20"/>
              </w:rPr>
              <w:t>组织员工人数：</w:t>
            </w:r>
            <w:r>
              <w:rPr>
                <w:rFonts w:hint="eastAsia" w:ascii="宋体"/>
                <w:color w:val="auto"/>
                <w:sz w:val="20"/>
                <w:szCs w:val="20"/>
                <w:lang w:val="en-US" w:eastAsia="zh-CN"/>
              </w:rPr>
              <w:t>15</w:t>
            </w:r>
            <w:r>
              <w:rPr>
                <w:rFonts w:hint="eastAsia" w:ascii="宋体"/>
                <w:color w:val="auto"/>
                <w:sz w:val="20"/>
                <w:szCs w:val="20"/>
              </w:rPr>
              <w:t>人，其中管理人员：</w:t>
            </w:r>
            <w:r>
              <w:rPr>
                <w:rFonts w:hint="eastAsia" w:ascii="宋体"/>
                <w:color w:val="auto"/>
                <w:sz w:val="20"/>
                <w:szCs w:val="20"/>
                <w:lang w:val="en-US" w:eastAsia="zh-CN"/>
              </w:rPr>
              <w:t>6</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pPr>
            <w:r>
              <w:rPr>
                <w:rFonts w:hint="eastAsia"/>
              </w:rPr>
              <w:t>▲质量管理体系宜重点关注（设计、关键生产</w:t>
            </w:r>
            <w:r>
              <w:t>/</w:t>
            </w:r>
            <w:r>
              <w:rPr>
                <w:rFonts w:hint="eastAsia"/>
              </w:rPr>
              <w:t>服务、检验、采购过程及生产</w:t>
            </w:r>
            <w:r>
              <w:t>/</w:t>
            </w:r>
            <w:r>
              <w:rPr>
                <w:rFonts w:hint="eastAsia"/>
              </w:rPr>
              <w:t>服务提供场所）：</w:t>
            </w:r>
          </w:p>
          <w:p>
            <w:pPr>
              <w:spacing w:line="360" w:lineRule="auto"/>
            </w:pPr>
            <w:r>
              <w:rPr>
                <w:rFonts w:hint="eastAsia"/>
              </w:rPr>
              <w:t>重点审核部门：</w:t>
            </w:r>
            <w:r>
              <w:rPr>
                <w:rFonts w:hint="eastAsia" w:ascii="宋体" w:hAnsi="宋体"/>
                <w:b/>
                <w:color w:val="000000"/>
                <w:sz w:val="20"/>
                <w:szCs w:val="20"/>
              </w:rPr>
              <w:t>综合部、销售部</w:t>
            </w:r>
          </w:p>
          <w:p>
            <w:pPr>
              <w:spacing w:line="360" w:lineRule="auto"/>
            </w:pPr>
            <w:r>
              <w:rPr>
                <w:rFonts w:hint="eastAsia"/>
              </w:rPr>
              <w:t>重点审核过程：</w:t>
            </w:r>
            <w:r>
              <w:rPr>
                <w:rFonts w:hint="eastAsia" w:ascii="宋体" w:hAnsi="宋体"/>
                <w:b/>
                <w:color w:val="000000"/>
                <w:sz w:val="20"/>
                <w:szCs w:val="20"/>
                <w:lang w:eastAsia="zh-CN"/>
              </w:rPr>
              <w:t>服务现场</w:t>
            </w:r>
          </w:p>
          <w:p>
            <w:pPr>
              <w:spacing w:line="360" w:lineRule="auto"/>
              <w:rPr>
                <w:rFonts w:ascii="宋体"/>
                <w:b/>
                <w:color w:val="000000"/>
                <w:sz w:val="20"/>
                <w:szCs w:val="20"/>
              </w:rPr>
            </w:pPr>
            <w:r>
              <w:rPr>
                <w:rFonts w:hint="eastAsia"/>
              </w:rPr>
              <w:t>重点审核场所：</w:t>
            </w:r>
            <w:r>
              <w:rPr>
                <w:rFonts w:hint="eastAsia" w:ascii="宋体" w:hAnsi="宋体"/>
                <w:b/>
                <w:color w:val="000000"/>
                <w:sz w:val="20"/>
                <w:szCs w:val="20"/>
                <w:lang w:eastAsia="zh-CN"/>
              </w:rPr>
              <w:t>服务现场、库房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服务现场、库房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重点审核部门：综合部、销售部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服务现场、库房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240" w:lineRule="auto"/>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626745" cy="274320"/>
            <wp:effectExtent l="0" t="0" r="1905" b="1143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pStyle w:val="2"/>
      </w:pPr>
    </w:p>
    <w:p>
      <w:pPr>
        <w:spacing w:line="480" w:lineRule="auto"/>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kern w:val="2"/>
          <w:sz w:val="24"/>
          <w:lang w:val="en-US" w:eastAsia="zh-CN" w:bidi="ar-SA"/>
        </w:rPr>
        <w:drawing>
          <wp:inline distT="0" distB="0" distL="114300" distR="114300">
            <wp:extent cx="472440" cy="333375"/>
            <wp:effectExtent l="0" t="0" r="3810" b="9525"/>
            <wp:docPr id="6" name="图片 6"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lang w:val="en-US" w:eastAsia="zh-CN"/>
        </w:rPr>
        <w:t xml:space="preserve">  </w:t>
      </w:r>
      <w:r>
        <w:drawing>
          <wp:inline distT="0" distB="0" distL="114300" distR="114300">
            <wp:extent cx="476885" cy="316865"/>
            <wp:effectExtent l="0" t="0" r="18415" b="698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lum contrast="78000"/>
                    </a:blip>
                    <a:stretch>
                      <a:fillRect/>
                    </a:stretch>
                  </pic:blipFill>
                  <pic:spPr>
                    <a:xfrm>
                      <a:off x="0" y="0"/>
                      <a:ext cx="476885" cy="3168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596900" cy="293370"/>
            <wp:effectExtent l="0" t="0" r="12700" b="1143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9"/>
                    <a:stretch>
                      <a:fillRect/>
                    </a:stretch>
                  </pic:blipFill>
                  <pic:spPr>
                    <a:xfrm>
                      <a:off x="0" y="0"/>
                      <a:ext cx="596900" cy="293370"/>
                    </a:xfrm>
                    <a:prstGeom prst="rect">
                      <a:avLst/>
                    </a:prstGeom>
                    <a:noFill/>
                    <a:ln>
                      <a:noFill/>
                    </a:ln>
                  </pic:spPr>
                </pic:pic>
              </a:graphicData>
            </a:graphic>
          </wp:inline>
        </w:drawing>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2020年8月29日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48" w:type="dxa"/>
            <w:vAlign w:val="center"/>
          </w:tcPr>
          <w:p>
            <w:pPr>
              <w:pStyle w:val="5"/>
              <w:pBdr>
                <w:bottom w:val="none" w:color="auto" w:sz="0" w:space="0"/>
              </w:pBdr>
              <w:ind w:right="600"/>
              <w:jc w:val="left"/>
              <w:rPr>
                <w:rFonts w:hint="eastAsia" w:ascii="宋体" w:eastAsia="宋体"/>
                <w:b w:val="0"/>
                <w:bCs w:val="0"/>
                <w:color w:val="000000"/>
                <w:sz w:val="24"/>
                <w:szCs w:val="24"/>
                <w:lang w:val="en-US" w:eastAsia="zh-CN"/>
              </w:rPr>
            </w:pPr>
            <w:r>
              <w:rPr>
                <w:rFonts w:hint="eastAsia" w:ascii="宋体"/>
                <w:b w:val="0"/>
                <w:bCs w:val="0"/>
                <w:color w:val="000000"/>
                <w:sz w:val="24"/>
                <w:szCs w:val="24"/>
                <w:lang w:val="en-US" w:eastAsia="zh-CN"/>
              </w:rPr>
              <w:t>1</w:t>
            </w:r>
          </w:p>
        </w:tc>
        <w:tc>
          <w:tcPr>
            <w:tcW w:w="5681" w:type="dxa"/>
            <w:vAlign w:val="center"/>
          </w:tcPr>
          <w:p>
            <w:pPr>
              <w:snapToGrid w:val="0"/>
              <w:spacing w:line="280" w:lineRule="exact"/>
              <w:jc w:val="left"/>
              <w:rPr>
                <w:rFonts w:hint="eastAsia" w:ascii="Times New Roman" w:hAnsi="Times New Roman" w:cs="Times New Roman"/>
                <w:b w:val="0"/>
                <w:bCs w:val="0"/>
                <w:color w:val="000000"/>
                <w:sz w:val="22"/>
                <w:szCs w:val="22"/>
              </w:rPr>
            </w:pPr>
            <w:r>
              <w:rPr>
                <w:rFonts w:hint="eastAsia" w:ascii="Times New Roman" w:hAnsi="Times New Roman" w:cs="Times New Roman"/>
                <w:b w:val="0"/>
                <w:bCs w:val="0"/>
                <w:color w:val="000000"/>
                <w:sz w:val="22"/>
                <w:szCs w:val="22"/>
                <w:lang w:val="en-US" w:eastAsia="zh-CN"/>
              </w:rPr>
              <w:t>合格供方名录未识别外包过程（运输外包方）-运输过程；</w:t>
            </w:r>
          </w:p>
        </w:tc>
        <w:tc>
          <w:tcPr>
            <w:tcW w:w="1688" w:type="dxa"/>
            <w:vAlign w:val="center"/>
          </w:tcPr>
          <w:p>
            <w:pPr>
              <w:snapToGrid w:val="0"/>
              <w:spacing w:line="280" w:lineRule="exact"/>
              <w:jc w:val="left"/>
              <w:rPr>
                <w:rFonts w:hint="eastAsia" w:ascii="Times New Roman" w:hAnsi="Times New Roman" w:cs="Times New Roman"/>
                <w:b w:val="0"/>
                <w:bCs w:val="0"/>
                <w:color w:val="000000"/>
                <w:sz w:val="22"/>
                <w:szCs w:val="22"/>
              </w:rPr>
            </w:pPr>
            <w:r>
              <w:rPr>
                <w:rFonts w:hint="eastAsia" w:ascii="Times New Roman" w:hAnsi="Times New Roman" w:cs="Times New Roman"/>
                <w:b w:val="0"/>
                <w:bCs w:val="0"/>
                <w:color w:val="000000"/>
                <w:sz w:val="22"/>
                <w:szCs w:val="22"/>
                <w:lang w:val="en-US" w:eastAsia="zh-CN"/>
              </w:rPr>
              <w:t>QEO</w:t>
            </w:r>
          </w:p>
        </w:tc>
        <w:tc>
          <w:tcPr>
            <w:tcW w:w="1811" w:type="dxa"/>
            <w:vAlign w:val="center"/>
          </w:tcPr>
          <w:p>
            <w:pPr>
              <w:snapToGrid w:val="0"/>
              <w:spacing w:line="280" w:lineRule="exact"/>
              <w:jc w:val="left"/>
              <w:rPr>
                <w:rFonts w:hint="eastAsia" w:ascii="Times New Roman" w:hAnsi="Times New Roman" w:cs="Times New Roman"/>
                <w:b w:val="0"/>
                <w:bCs w:val="0"/>
                <w:color w:val="000000"/>
                <w:sz w:val="22"/>
                <w:szCs w:val="22"/>
                <w:lang w:val="en-US" w:eastAsia="zh-CN"/>
              </w:rPr>
            </w:pPr>
            <w:r>
              <w:rPr>
                <w:rFonts w:hint="eastAsia" w:ascii="Times New Roman" w:hAnsi="Times New Roman" w:cs="Times New Roman"/>
                <w:b w:val="0"/>
                <w:bCs w:val="0"/>
                <w:color w:val="000000"/>
                <w:sz w:val="22"/>
                <w:szCs w:val="22"/>
                <w:lang w:val="en-US" w:eastAsia="zh-CN"/>
              </w:rPr>
              <w:t xml:space="preserve">Q8.4 </w:t>
            </w:r>
          </w:p>
          <w:p>
            <w:pPr>
              <w:snapToGrid w:val="0"/>
              <w:spacing w:line="280" w:lineRule="exact"/>
              <w:jc w:val="left"/>
              <w:rPr>
                <w:rFonts w:hint="default" w:ascii="Times New Roman" w:hAnsi="Times New Roman" w:cs="Times New Roman"/>
                <w:b w:val="0"/>
                <w:bCs w:val="0"/>
                <w:color w:val="000000"/>
                <w:sz w:val="22"/>
                <w:szCs w:val="22"/>
                <w:lang w:val="en-US"/>
              </w:rPr>
            </w:pPr>
            <w:r>
              <w:rPr>
                <w:rFonts w:hint="eastAsia" w:ascii="Times New Roman" w:hAnsi="Times New Roman" w:cs="Times New Roman"/>
                <w:b w:val="0"/>
                <w:bCs w:val="0"/>
                <w:color w:val="000000"/>
                <w:sz w:val="22"/>
                <w:szCs w:val="22"/>
                <w:lang w:val="en-US" w:eastAsia="zh-CN"/>
              </w:rPr>
              <w:t>O8.1.4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left"/>
              <w:rPr>
                <w:rFonts w:hint="eastAsia" w:ascii="宋体" w:eastAsia="宋体"/>
                <w:b w:val="0"/>
                <w:bCs w:val="0"/>
                <w:color w:val="000000"/>
                <w:sz w:val="24"/>
                <w:szCs w:val="24"/>
                <w:lang w:val="en-US" w:eastAsia="zh-CN"/>
              </w:rPr>
            </w:pPr>
            <w:r>
              <w:rPr>
                <w:rFonts w:hint="eastAsia" w:ascii="宋体"/>
                <w:b w:val="0"/>
                <w:bCs w:val="0"/>
                <w:color w:val="000000"/>
                <w:sz w:val="24"/>
                <w:szCs w:val="24"/>
                <w:lang w:val="en-US" w:eastAsia="zh-CN"/>
              </w:rPr>
              <w:t>2</w:t>
            </w:r>
          </w:p>
        </w:tc>
        <w:tc>
          <w:tcPr>
            <w:tcW w:w="5681" w:type="dxa"/>
            <w:vAlign w:val="center"/>
          </w:tcPr>
          <w:p>
            <w:pPr>
              <w:snapToGrid w:val="0"/>
              <w:spacing w:line="280" w:lineRule="exact"/>
              <w:jc w:val="left"/>
              <w:rPr>
                <w:rFonts w:hint="eastAsia" w:ascii="Times New Roman" w:hAnsi="Times New Roman" w:cs="Times New Roman"/>
                <w:b w:val="0"/>
                <w:bCs w:val="0"/>
                <w:color w:val="000000"/>
                <w:sz w:val="22"/>
                <w:szCs w:val="22"/>
                <w:lang w:val="en-US" w:eastAsia="zh-CN"/>
              </w:rPr>
            </w:pPr>
            <w:r>
              <w:rPr>
                <w:rFonts w:hint="eastAsia" w:ascii="Times New Roman" w:hAnsi="Times New Roman" w:cs="Times New Roman"/>
                <w:b w:val="0"/>
                <w:bCs w:val="0"/>
                <w:color w:val="000000"/>
                <w:sz w:val="22"/>
                <w:szCs w:val="22"/>
                <w:lang w:val="en-US" w:eastAsia="zh-CN"/>
              </w:rPr>
              <w:t>外来文件清单、法律法规未识别“《食品经营许可管理办法》、《食用农产品市场销售质量安全监督管理办法》、《食品生产经营日常监督检查管理办法》、《网络餐饮服务食品安全监督管理办法》、《网络食品安全违法行为查处办法》</w:t>
            </w:r>
            <w:r>
              <w:rPr>
                <w:rFonts w:hint="default" w:ascii="Times New Roman" w:hAnsi="Times New Roman" w:cs="Times New Roman"/>
                <w:b w:val="0"/>
                <w:bCs w:val="0"/>
                <w:color w:val="000000"/>
                <w:sz w:val="22"/>
                <w:szCs w:val="22"/>
                <w:lang w:val="en-US" w:eastAsia="zh-CN"/>
              </w:rPr>
              <w:t>,《餐饮服务食品安全操作规范》、</w:t>
            </w:r>
            <w:r>
              <w:rPr>
                <w:rFonts w:hint="eastAsia" w:ascii="Times New Roman" w:hAnsi="Times New Roman" w:cs="Times New Roman"/>
                <w:b w:val="0"/>
                <w:bCs w:val="0"/>
                <w:color w:val="000000"/>
                <w:sz w:val="22"/>
                <w:szCs w:val="22"/>
                <w:lang w:val="en-US" w:eastAsia="zh-CN"/>
              </w:rPr>
              <w:t>中华人民共和国安全生产法、GB7718-2018预包装食品标签通则、流通领域食品安全管理办法、《国务院关于加强食品等产品安全监督管理的特别规定》（国务院令第503号）、食品标识管理规定、GB/T20940肉类制品企业良好操作规范、GB23346食品良好流通规范”等法律法规及其他要求。</w:t>
            </w:r>
          </w:p>
          <w:p>
            <w:pPr>
              <w:snapToGrid w:val="0"/>
              <w:spacing w:line="280" w:lineRule="exact"/>
              <w:jc w:val="left"/>
              <w:rPr>
                <w:rFonts w:hint="default" w:ascii="Times New Roman" w:hAnsi="Times New Roman" w:cs="Times New Roman"/>
                <w:b w:val="0"/>
                <w:bCs w:val="0"/>
                <w:color w:val="000000"/>
                <w:sz w:val="22"/>
                <w:szCs w:val="22"/>
                <w:lang w:val="en-US" w:eastAsia="zh-CN"/>
              </w:rPr>
            </w:pPr>
            <w:r>
              <w:rPr>
                <w:rFonts w:hint="eastAsia" w:ascii="Times New Roman" w:hAnsi="Times New Roman" w:cs="Times New Roman"/>
                <w:b w:val="0"/>
                <w:bCs w:val="0"/>
                <w:color w:val="000000"/>
                <w:sz w:val="22"/>
                <w:szCs w:val="22"/>
                <w:lang w:val="en-US" w:eastAsia="zh-CN"/>
              </w:rPr>
              <w:t xml:space="preserve"> 未对相应法律进行合规性评价</w:t>
            </w:r>
          </w:p>
        </w:tc>
        <w:tc>
          <w:tcPr>
            <w:tcW w:w="1688" w:type="dxa"/>
            <w:vAlign w:val="center"/>
          </w:tcPr>
          <w:p>
            <w:pPr>
              <w:snapToGrid w:val="0"/>
              <w:spacing w:line="280" w:lineRule="exact"/>
              <w:jc w:val="left"/>
              <w:rPr>
                <w:rFonts w:hint="eastAsia" w:ascii="Times New Roman" w:hAnsi="Times New Roman" w:cs="Times New Roman"/>
                <w:b w:val="0"/>
                <w:bCs w:val="0"/>
                <w:color w:val="000000"/>
                <w:sz w:val="22"/>
                <w:szCs w:val="22"/>
              </w:rPr>
            </w:pPr>
            <w:r>
              <w:rPr>
                <w:rFonts w:hint="eastAsia" w:ascii="Times New Roman" w:hAnsi="Times New Roman" w:cs="Times New Roman"/>
                <w:b w:val="0"/>
                <w:bCs w:val="0"/>
                <w:color w:val="000000"/>
                <w:sz w:val="22"/>
                <w:szCs w:val="22"/>
                <w:lang w:val="en-US" w:eastAsia="zh-CN"/>
              </w:rPr>
              <w:t>QEO</w:t>
            </w:r>
          </w:p>
        </w:tc>
        <w:tc>
          <w:tcPr>
            <w:tcW w:w="1811" w:type="dxa"/>
            <w:vAlign w:val="center"/>
          </w:tcPr>
          <w:p>
            <w:pPr>
              <w:snapToGrid w:val="0"/>
              <w:spacing w:line="280" w:lineRule="exact"/>
              <w:jc w:val="left"/>
              <w:rPr>
                <w:rFonts w:hint="default" w:ascii="Times New Roman" w:hAnsi="Times New Roman" w:cs="Times New Roman"/>
                <w:b w:val="0"/>
                <w:bCs w:val="0"/>
                <w:color w:val="000000"/>
                <w:sz w:val="22"/>
                <w:szCs w:val="22"/>
                <w:lang w:val="en-US" w:eastAsia="zh-CN"/>
              </w:rPr>
            </w:pPr>
            <w:r>
              <w:rPr>
                <w:rFonts w:hint="eastAsia" w:ascii="Times New Roman" w:hAnsi="Times New Roman" w:cs="Times New Roman"/>
                <w:b w:val="0"/>
                <w:bCs w:val="0"/>
                <w:color w:val="000000"/>
                <w:sz w:val="22"/>
                <w:szCs w:val="22"/>
                <w:lang w:val="en-US" w:eastAsia="zh-CN"/>
              </w:rPr>
              <w:t>Q2.0</w:t>
            </w:r>
          </w:p>
          <w:p>
            <w:pPr>
              <w:snapToGrid w:val="0"/>
              <w:spacing w:line="280" w:lineRule="exact"/>
              <w:jc w:val="left"/>
              <w:rPr>
                <w:rFonts w:hint="eastAsia" w:ascii="Times New Roman" w:hAnsi="Times New Roman" w:cs="Times New Roman"/>
                <w:b w:val="0"/>
                <w:bCs w:val="0"/>
                <w:color w:val="000000"/>
                <w:sz w:val="22"/>
                <w:szCs w:val="22"/>
                <w:lang w:val="en-US" w:eastAsia="zh-CN"/>
              </w:rPr>
            </w:pPr>
            <w:r>
              <w:rPr>
                <w:rFonts w:hint="eastAsia" w:ascii="Times New Roman" w:hAnsi="Times New Roman" w:cs="Times New Roman"/>
                <w:b w:val="0"/>
                <w:bCs w:val="0"/>
                <w:color w:val="000000"/>
                <w:sz w:val="22"/>
                <w:szCs w:val="22"/>
                <w:lang w:val="en-US" w:eastAsia="zh-CN"/>
              </w:rPr>
              <w:t>EO6.1.3</w:t>
            </w:r>
          </w:p>
          <w:p>
            <w:pPr>
              <w:snapToGrid w:val="0"/>
              <w:spacing w:line="280" w:lineRule="exact"/>
              <w:jc w:val="left"/>
              <w:rPr>
                <w:rFonts w:hint="default" w:ascii="Times New Roman" w:hAnsi="Times New Roman" w:cs="Times New Roman"/>
                <w:b w:val="0"/>
                <w:bCs w:val="0"/>
                <w:color w:val="000000"/>
                <w:sz w:val="22"/>
                <w:szCs w:val="22"/>
                <w:lang w:val="en-US" w:eastAsia="zh-CN"/>
              </w:rPr>
            </w:pPr>
            <w:r>
              <w:rPr>
                <w:rFonts w:hint="eastAsia" w:ascii="Times New Roman" w:hAnsi="Times New Roman" w:cs="Times New Roman"/>
                <w:b w:val="0"/>
                <w:bCs w:val="0"/>
                <w:color w:val="000000"/>
                <w:sz w:val="22"/>
                <w:szCs w:val="22"/>
                <w:lang w:val="en-US" w:eastAsia="zh-CN"/>
              </w:rPr>
              <w:t>EO9.1.2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left"/>
              <w:rPr>
                <w:rFonts w:hint="default" w:ascii="宋体"/>
                <w:b w:val="0"/>
                <w:bCs w:val="0"/>
                <w:color w:val="000000"/>
                <w:sz w:val="24"/>
                <w:szCs w:val="24"/>
                <w:lang w:val="en-US" w:eastAsia="zh-CN"/>
              </w:rPr>
            </w:pPr>
            <w:r>
              <w:rPr>
                <w:rFonts w:hint="eastAsia" w:ascii="宋体"/>
                <w:b w:val="0"/>
                <w:bCs w:val="0"/>
                <w:color w:val="000000"/>
                <w:sz w:val="24"/>
                <w:szCs w:val="24"/>
                <w:lang w:val="en-US" w:eastAsia="zh-CN"/>
              </w:rPr>
              <w:t>3</w:t>
            </w:r>
          </w:p>
        </w:tc>
        <w:tc>
          <w:tcPr>
            <w:tcW w:w="5681" w:type="dxa"/>
            <w:vAlign w:val="center"/>
          </w:tcPr>
          <w:p>
            <w:pPr>
              <w:snapToGrid w:val="0"/>
              <w:spacing w:line="280" w:lineRule="exact"/>
              <w:jc w:val="left"/>
              <w:rPr>
                <w:rFonts w:hint="eastAsia" w:ascii="Times New Roman" w:hAnsi="Times New Roman" w:cs="Times New Roman"/>
                <w:b w:val="0"/>
                <w:bCs w:val="0"/>
                <w:color w:val="000000"/>
                <w:sz w:val="22"/>
                <w:szCs w:val="22"/>
                <w:lang w:val="en-US" w:eastAsia="zh-CN"/>
              </w:rPr>
            </w:pPr>
            <w:r>
              <w:rPr>
                <w:rFonts w:hint="eastAsia" w:ascii="Times New Roman" w:hAnsi="Times New Roman" w:cs="Times New Roman"/>
                <w:lang w:val="en-US" w:eastAsia="zh-CN"/>
              </w:rPr>
              <w:t>未提供对“流通领域食品安全管理办法”进行合规性评审的证据</w:t>
            </w:r>
          </w:p>
        </w:tc>
        <w:tc>
          <w:tcPr>
            <w:tcW w:w="1688" w:type="dxa"/>
            <w:vAlign w:val="center"/>
          </w:tcPr>
          <w:p>
            <w:pPr>
              <w:snapToGrid w:val="0"/>
              <w:spacing w:line="280" w:lineRule="exact"/>
              <w:jc w:val="left"/>
              <w:rPr>
                <w:rFonts w:hint="eastAsia" w:ascii="Times New Roman" w:hAnsi="Times New Roman" w:cs="Times New Roman"/>
                <w:b w:val="0"/>
                <w:bCs w:val="0"/>
                <w:color w:val="000000"/>
                <w:sz w:val="22"/>
                <w:szCs w:val="22"/>
                <w:lang w:val="en-US" w:eastAsia="zh-CN"/>
              </w:rPr>
            </w:pPr>
            <w:r>
              <w:rPr>
                <w:rFonts w:hint="eastAsia" w:ascii="Times New Roman" w:hAnsi="Times New Roman" w:cs="Times New Roman"/>
                <w:b w:val="0"/>
                <w:bCs w:val="0"/>
                <w:color w:val="000000"/>
                <w:sz w:val="22"/>
                <w:szCs w:val="22"/>
                <w:lang w:val="en-US" w:eastAsia="zh-CN"/>
              </w:rPr>
              <w:t>QEO</w:t>
            </w:r>
          </w:p>
        </w:tc>
        <w:tc>
          <w:tcPr>
            <w:tcW w:w="1811" w:type="dxa"/>
            <w:vAlign w:val="center"/>
          </w:tcPr>
          <w:p>
            <w:pPr>
              <w:snapToGrid w:val="0"/>
              <w:spacing w:line="280" w:lineRule="exact"/>
              <w:jc w:val="left"/>
              <w:rPr>
                <w:rFonts w:hint="default" w:ascii="Times New Roman" w:hAnsi="Times New Roman" w:cs="Times New Roman"/>
                <w:b w:val="0"/>
                <w:bCs w:val="0"/>
                <w:color w:val="000000"/>
                <w:sz w:val="22"/>
                <w:szCs w:val="22"/>
                <w:lang w:val="en-US" w:eastAsia="zh-CN"/>
              </w:rPr>
            </w:pPr>
            <w:r>
              <w:rPr>
                <w:rFonts w:hint="eastAsia" w:cs="Times New Roman"/>
                <w:b w:val="0"/>
                <w:bCs w:val="0"/>
                <w:color w:val="000000"/>
                <w:sz w:val="22"/>
                <w:szCs w:val="22"/>
                <w:lang w:val="en-US" w:eastAsia="zh-CN"/>
              </w:rPr>
              <w:t>EO9.1.2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A3"/>
            </w: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600" w:lineRule="auto"/>
              <w:rPr>
                <w:b/>
                <w:color w:val="000000"/>
                <w:sz w:val="22"/>
                <w:szCs w:val="22"/>
              </w:rPr>
            </w:pPr>
            <w:r>
              <w:rPr>
                <w:rFonts w:hint="eastAsia"/>
                <w:b/>
                <w:color w:val="000000"/>
                <w:sz w:val="22"/>
                <w:szCs w:val="22"/>
              </w:rPr>
              <w:t>审核员：</w:t>
            </w:r>
            <w:r>
              <w:drawing>
                <wp:inline distT="0" distB="0" distL="114300" distR="114300">
                  <wp:extent cx="726440" cy="318135"/>
                  <wp:effectExtent l="0" t="0" r="16510"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726440" cy="318135"/>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1" name="图片 2"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p>
          <w:p>
            <w:pPr>
              <w:spacing w:line="280" w:lineRule="exact"/>
              <w:jc w:val="righ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8</w:t>
            </w:r>
            <w:r>
              <w:rPr>
                <w:rFonts w:hint="eastAsia"/>
                <w:b/>
                <w:color w:val="000000"/>
                <w:sz w:val="22"/>
                <w:szCs w:val="22"/>
              </w:rPr>
              <w:t xml:space="preserve"> 月 </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58240" behindDoc="0" locked="0" layoutInCell="1" allowOverlap="1">
                  <wp:simplePos x="0" y="0"/>
                  <wp:positionH relativeFrom="column">
                    <wp:posOffset>1026160</wp:posOffset>
                  </wp:positionH>
                  <wp:positionV relativeFrom="paragraph">
                    <wp:posOffset>129540</wp:posOffset>
                  </wp:positionV>
                  <wp:extent cx="571500" cy="488315"/>
                  <wp:effectExtent l="0" t="0" r="0" b="6985"/>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571500" cy="488315"/>
                          </a:xfrm>
                          <a:prstGeom prst="rect">
                            <a:avLst/>
                          </a:prstGeom>
                          <a:noFill/>
                          <a:ln>
                            <a:noFill/>
                          </a:ln>
                        </pic:spPr>
                      </pic:pic>
                    </a:graphicData>
                  </a:graphic>
                </wp:anchor>
              </w:drawing>
            </w:r>
            <w:r>
              <w:rPr>
                <w:rFonts w:hint="eastAsia"/>
                <w:b/>
                <w:color w:val="000000"/>
                <w:sz w:val="22"/>
                <w:szCs w:val="22"/>
              </w:rPr>
              <w:t xml:space="preserve">受审核方确认：  </w:t>
            </w:r>
          </w:p>
          <w:p>
            <w:pPr>
              <w:spacing w:line="280" w:lineRule="exact"/>
              <w:rPr>
                <w:rFonts w:hint="eastAsia"/>
                <w:b/>
                <w:color w:val="000000"/>
                <w:sz w:val="22"/>
                <w:szCs w:val="22"/>
              </w:rPr>
            </w:pPr>
            <w:r>
              <w:rPr>
                <w:rFonts w:hint="eastAsia"/>
                <w:b/>
                <w:color w:val="000000"/>
                <w:sz w:val="22"/>
                <w:szCs w:val="22"/>
              </w:rPr>
              <w:t xml:space="preserve">       </w:t>
            </w:r>
          </w:p>
          <w:p>
            <w:pPr>
              <w:spacing w:line="280" w:lineRule="exact"/>
              <w:jc w:val="right"/>
              <w:rPr>
                <w:rFonts w:hint="eastAsia"/>
                <w:b/>
                <w:color w:val="000000"/>
                <w:sz w:val="22"/>
                <w:szCs w:val="22"/>
              </w:rPr>
            </w:pPr>
          </w:p>
          <w:p>
            <w:pPr>
              <w:spacing w:line="280" w:lineRule="exact"/>
              <w:jc w:val="righ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8</w:t>
            </w:r>
            <w:r>
              <w:rPr>
                <w:rFonts w:hint="eastAsia"/>
                <w:b/>
                <w:color w:val="000000"/>
                <w:sz w:val="22"/>
                <w:szCs w:val="22"/>
              </w:rPr>
              <w:t xml:space="preserve"> 月 </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480" w:lineRule="auto"/>
              <w:rPr>
                <w:rFonts w:hint="eastAsia"/>
                <w:b/>
                <w:color w:val="000000"/>
                <w:sz w:val="22"/>
                <w:szCs w:val="22"/>
              </w:rPr>
            </w:pPr>
            <w:r>
              <w:rPr>
                <w:rFonts w:hint="eastAsia"/>
                <w:b/>
                <w:color w:val="000000"/>
                <w:sz w:val="22"/>
                <w:szCs w:val="22"/>
              </w:rPr>
              <w:t>验证人：</w:t>
            </w:r>
            <w:r>
              <w:drawing>
                <wp:inline distT="0" distB="0" distL="114300" distR="114300">
                  <wp:extent cx="726440" cy="318135"/>
                  <wp:effectExtent l="0" t="0" r="1651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lum contrast="96000"/>
                          </a:blip>
                          <a:stretch>
                            <a:fillRect/>
                          </a:stretch>
                        </pic:blipFill>
                        <pic:spPr>
                          <a:xfrm>
                            <a:off x="0" y="0"/>
                            <a:ext cx="726440" cy="318135"/>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5" name="图片 4"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p>
          <w:p>
            <w:pPr>
              <w:spacing w:line="280" w:lineRule="exact"/>
              <w:jc w:val="righ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8</w:t>
            </w:r>
            <w:r>
              <w:rPr>
                <w:rFonts w:hint="eastAsia"/>
                <w:b/>
                <w:color w:val="000000"/>
                <w:sz w:val="22"/>
                <w:szCs w:val="22"/>
              </w:rPr>
              <w:t xml:space="preserve"> 月 </w:t>
            </w:r>
            <w:r>
              <w:rPr>
                <w:rFonts w:hint="eastAsia"/>
                <w:b/>
                <w:color w:val="000000"/>
                <w:sz w:val="22"/>
                <w:szCs w:val="22"/>
                <w:lang w:val="en-US" w:eastAsia="zh-CN"/>
              </w:rPr>
              <w:t>31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05322"/>
    <w:rsid w:val="04B13107"/>
    <w:rsid w:val="07676FF7"/>
    <w:rsid w:val="0D891C22"/>
    <w:rsid w:val="0E387984"/>
    <w:rsid w:val="0F456C79"/>
    <w:rsid w:val="0FF86D71"/>
    <w:rsid w:val="17E45C0F"/>
    <w:rsid w:val="1AE826CE"/>
    <w:rsid w:val="1CB95B52"/>
    <w:rsid w:val="1CED111D"/>
    <w:rsid w:val="212E7894"/>
    <w:rsid w:val="23373209"/>
    <w:rsid w:val="2424457B"/>
    <w:rsid w:val="24E32D59"/>
    <w:rsid w:val="25034E14"/>
    <w:rsid w:val="26A529AB"/>
    <w:rsid w:val="2C30571E"/>
    <w:rsid w:val="2E6A12EE"/>
    <w:rsid w:val="2FE54EAE"/>
    <w:rsid w:val="36014609"/>
    <w:rsid w:val="3A0A6D8F"/>
    <w:rsid w:val="3A3715F1"/>
    <w:rsid w:val="3BE16BE8"/>
    <w:rsid w:val="3CCF6184"/>
    <w:rsid w:val="3EB03C70"/>
    <w:rsid w:val="48F720A7"/>
    <w:rsid w:val="49223223"/>
    <w:rsid w:val="4B467FF6"/>
    <w:rsid w:val="4B4A6CFA"/>
    <w:rsid w:val="4B7F6BD9"/>
    <w:rsid w:val="4D76625B"/>
    <w:rsid w:val="4FA274E4"/>
    <w:rsid w:val="52C1325F"/>
    <w:rsid w:val="5767441C"/>
    <w:rsid w:val="580147B0"/>
    <w:rsid w:val="5CD302EE"/>
    <w:rsid w:val="5ED36107"/>
    <w:rsid w:val="64D35918"/>
    <w:rsid w:val="68F036B6"/>
    <w:rsid w:val="697B702E"/>
    <w:rsid w:val="6A625211"/>
    <w:rsid w:val="6C0F1AD0"/>
    <w:rsid w:val="6DD32381"/>
    <w:rsid w:val="751A3DFA"/>
    <w:rsid w:val="793B4E35"/>
    <w:rsid w:val="7C4D084B"/>
    <w:rsid w:val="7CDF2335"/>
    <w:rsid w:val="7EAA0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2020-09-08T05:15:10Z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