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Fonts w:hint="eastAsia"/>
          <w:sz w:val="21"/>
          <w:szCs w:val="21"/>
        </w:rPr>
      </w:pPr>
    </w:p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21"/>
          <w:szCs w:val="21"/>
        </w:rPr>
      </w:pPr>
      <w:r>
        <w:rPr>
          <w:rFonts w:hint="eastAsia" w:ascii="隶书" w:hAnsi="宋体" w:eastAsia="隶书"/>
          <w:bCs/>
          <w:color w:val="000000"/>
          <w:sz w:val="21"/>
          <w:szCs w:val="21"/>
        </w:rPr>
        <w:t>管理体系审核记录表</w:t>
      </w:r>
    </w:p>
    <w:tbl>
      <w:tblPr>
        <w:tblStyle w:val="6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6"/>
        <w:gridCol w:w="1134"/>
        <w:gridCol w:w="10760"/>
        <w:gridCol w:w="8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986" w:type="dxa"/>
            <w:vMerge w:val="restart"/>
            <w:vAlign w:val="center"/>
          </w:tcPr>
          <w:p>
            <w:pPr>
              <w:spacing w:before="120"/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过程与活动、</w:t>
            </w:r>
          </w:p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抽样计划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涉及</w:t>
            </w:r>
          </w:p>
          <w:p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条款</w:t>
            </w:r>
          </w:p>
        </w:tc>
        <w:tc>
          <w:tcPr>
            <w:tcW w:w="10760" w:type="dxa"/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 w:cs="宋体"/>
                <w:color w:val="auto"/>
                <w:sz w:val="21"/>
                <w:szCs w:val="21"/>
              </w:rPr>
              <w:t>受审核部门：</w:t>
            </w:r>
            <w:r>
              <w:rPr>
                <w:rFonts w:hint="eastAsia" w:ascii="宋体" w:hAnsi="宋体" w:cs="Times New Roman"/>
                <w:color w:val="auto"/>
                <w:sz w:val="21"/>
                <w:szCs w:val="21"/>
                <w:lang w:val="en-US" w:eastAsia="zh-CN"/>
              </w:rPr>
              <w:t>销售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部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 xml:space="preserve">    </w:t>
            </w:r>
            <w:r>
              <w:rPr>
                <w:color w:val="auto"/>
                <w:sz w:val="21"/>
                <w:szCs w:val="21"/>
              </w:rPr>
              <w:t xml:space="preserve">   </w:t>
            </w:r>
            <w:r>
              <w:rPr>
                <w:rFonts w:hint="eastAsia" w:cs="宋体"/>
                <w:color w:val="auto"/>
                <w:sz w:val="21"/>
                <w:szCs w:val="21"/>
              </w:rPr>
              <w:t xml:space="preserve">主管领导：杨其兵 </w:t>
            </w:r>
            <w:r>
              <w:rPr>
                <w:rFonts w:hint="eastAsia" w:cs="宋体"/>
                <w:color w:val="auto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color w:val="auto"/>
                <w:sz w:val="21"/>
                <w:szCs w:val="21"/>
              </w:rPr>
              <w:t xml:space="preserve">     </w:t>
            </w:r>
            <w:r>
              <w:rPr>
                <w:rFonts w:hint="eastAsia" w:cs="宋体"/>
                <w:color w:val="auto"/>
                <w:sz w:val="21"/>
                <w:szCs w:val="21"/>
              </w:rPr>
              <w:t>陪同人员：</w:t>
            </w:r>
            <w:r>
              <w:rPr>
                <w:rFonts w:hint="eastAsia"/>
                <w:color w:val="auto"/>
                <w:sz w:val="21"/>
                <w:szCs w:val="21"/>
              </w:rPr>
              <w:t xml:space="preserve"> </w:t>
            </w:r>
          </w:p>
        </w:tc>
        <w:tc>
          <w:tcPr>
            <w:tcW w:w="829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986" w:type="dxa"/>
            <w:vMerge w:val="continue"/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</w:p>
        </w:tc>
        <w:tc>
          <w:tcPr>
            <w:tcW w:w="10760" w:type="dxa"/>
            <w:vAlign w:val="center"/>
          </w:tcPr>
          <w:p>
            <w:pPr>
              <w:spacing w:before="120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color w:val="auto"/>
                <w:sz w:val="21"/>
                <w:szCs w:val="21"/>
              </w:rPr>
              <w:t>审核员：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 xml:space="preserve">周涛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 xml:space="preserve"> 李君(实习)</w:t>
            </w:r>
            <w:bookmarkStart w:id="0" w:name="_GoBack"/>
            <w:bookmarkEnd w:id="0"/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 xml:space="preserve">  </w:t>
            </w:r>
            <w:r>
              <w:rPr>
                <w:color w:val="auto"/>
                <w:sz w:val="21"/>
                <w:szCs w:val="21"/>
              </w:rPr>
              <w:t xml:space="preserve">    </w:t>
            </w:r>
            <w:r>
              <w:rPr>
                <w:rFonts w:hint="eastAsia" w:cs="宋体"/>
                <w:color w:val="auto"/>
                <w:sz w:val="21"/>
                <w:szCs w:val="21"/>
              </w:rPr>
              <w:t>审核时间：</w:t>
            </w:r>
            <w:r>
              <w:rPr>
                <w:rFonts w:hint="eastAsia"/>
                <w:color w:val="auto"/>
                <w:sz w:val="21"/>
                <w:szCs w:val="21"/>
              </w:rPr>
              <w:t>2020.0</w:t>
            </w:r>
            <w:r>
              <w:rPr>
                <w:color w:val="auto"/>
                <w:sz w:val="21"/>
                <w:szCs w:val="21"/>
              </w:rPr>
              <w:t>8</w:t>
            </w:r>
            <w:r>
              <w:rPr>
                <w:rFonts w:hint="eastAsia"/>
                <w:color w:val="auto"/>
                <w:sz w:val="21"/>
                <w:szCs w:val="21"/>
              </w:rPr>
              <w:t>.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29</w:t>
            </w:r>
          </w:p>
        </w:tc>
        <w:tc>
          <w:tcPr>
            <w:tcW w:w="829" w:type="dxa"/>
            <w:vMerge w:val="continue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986" w:type="dxa"/>
            <w:vMerge w:val="continue"/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</w:p>
        </w:tc>
        <w:tc>
          <w:tcPr>
            <w:tcW w:w="10760" w:type="dxa"/>
            <w:vAlign w:val="center"/>
          </w:tcPr>
          <w:p>
            <w:pPr>
              <w:spacing w:line="360" w:lineRule="auto"/>
              <w:ind w:firstLine="420" w:firstLineChars="200"/>
              <w:rPr>
                <w:rFonts w:hint="eastAsia" w:ascii="Times New Roman" w:hAnsi="Times New Roman" w:cs="Times New Roman"/>
                <w:color w:val="auto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2"/>
                <w:lang w:val="en-US" w:eastAsia="zh-CN"/>
              </w:rPr>
              <w:t>审核条款：了解受审核方销售过程涉及的质量、环境、职业健康安全的相关活动；</w:t>
            </w:r>
          </w:p>
          <w:p>
            <w:pPr>
              <w:spacing w:line="360" w:lineRule="auto"/>
              <w:ind w:firstLine="420" w:firstLineChars="200"/>
              <w:rPr>
                <w:rFonts w:hint="eastAsia" w:ascii="Times New Roman" w:hAnsi="Times New Roman" w:cs="Times New Roman"/>
                <w:color w:val="auto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2"/>
                <w:lang w:val="en-US" w:eastAsia="zh-CN"/>
              </w:rPr>
              <w:t>涉及条款：Q7.1.3/7.1.4/7.1.5/8.1/8.2/8.5.1； EO6.1.2/6.1.3/6.1.4；</w:t>
            </w:r>
          </w:p>
        </w:tc>
        <w:tc>
          <w:tcPr>
            <w:tcW w:w="829" w:type="dxa"/>
            <w:vMerge w:val="continue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986" w:type="dxa"/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</w:rPr>
              <w:t>基础设施</w:t>
            </w:r>
          </w:p>
        </w:tc>
        <w:tc>
          <w:tcPr>
            <w:tcW w:w="1134" w:type="dxa"/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Q</w:t>
            </w:r>
            <w:r>
              <w:rPr>
                <w:rFonts w:hint="eastAsia"/>
                <w:color w:val="auto"/>
                <w:sz w:val="21"/>
                <w:szCs w:val="21"/>
              </w:rPr>
              <w:t>7.1.3</w:t>
            </w:r>
          </w:p>
        </w:tc>
        <w:tc>
          <w:tcPr>
            <w:tcW w:w="10760" w:type="dxa"/>
            <w:vAlign w:val="center"/>
          </w:tcPr>
          <w:p>
            <w:pPr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公司的基础设施有：办公室、冷库及温度控制设备、电脑、打印机等。。</w:t>
            </w:r>
          </w:p>
        </w:tc>
        <w:tc>
          <w:tcPr>
            <w:tcW w:w="829" w:type="dxa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986" w:type="dxa"/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</w:rPr>
              <w:t>过程运行环境</w:t>
            </w:r>
          </w:p>
        </w:tc>
        <w:tc>
          <w:tcPr>
            <w:tcW w:w="1134" w:type="dxa"/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Q</w:t>
            </w:r>
            <w:r>
              <w:rPr>
                <w:rFonts w:hint="eastAsia"/>
                <w:color w:val="auto"/>
                <w:sz w:val="21"/>
                <w:szCs w:val="21"/>
              </w:rPr>
              <w:t>7.1.4</w:t>
            </w:r>
          </w:p>
        </w:tc>
        <w:tc>
          <w:tcPr>
            <w:tcW w:w="10760" w:type="dxa"/>
            <w:vAlign w:val="top"/>
          </w:tcPr>
          <w:p>
            <w:pPr>
              <w:spacing w:line="360" w:lineRule="auto"/>
              <w:ind w:firstLine="420" w:firstLineChars="200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经远程询查得知冷冻库的环境要求：</w:t>
            </w:r>
          </w:p>
          <w:p>
            <w:pPr>
              <w:spacing w:line="360" w:lineRule="auto"/>
              <w:ind w:firstLine="420" w:firstLineChars="200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食品验收的场所、设备应当保持清洁，定期清扫，无积尘、无食品残渣，无霉斑、鼠迹、苍蝇、蟑螂，不得存放有毒、有害物品（如：杀鼠剂、杀虫剂、洗涤剂、消毒剂等）及个人生活用品。</w:t>
            </w:r>
          </w:p>
          <w:p>
            <w:pPr>
              <w:spacing w:line="360" w:lineRule="auto"/>
              <w:ind w:firstLine="420" w:firstLineChars="200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食品验收时应当注意按生产单位、品种分别放置于食品专用栈板上，保证商品分类、分架。做到生熟食品分开，避免交叉污染。</w:t>
            </w:r>
          </w:p>
          <w:p>
            <w:pPr>
              <w:spacing w:line="360" w:lineRule="auto"/>
              <w:ind w:firstLine="420" w:firstLineChars="200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根据公司作业的具体需要，公司考虑工作环境中必要的人性和生理因素，确保员工的职业安全、健康和心情愉快，包括：没有不歧视、和谐稳定、不对抗；员工没有低压力、有倦怠预防、有情感保护；食品配送中温度、热度、湿度、照明、空气流通、卫生、噪音符合要求。</w:t>
            </w:r>
          </w:p>
          <w:p>
            <w:pPr>
              <w:pStyle w:val="2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经远程询查，公司的过程运行环境符合标准要求。</w:t>
            </w:r>
          </w:p>
        </w:tc>
        <w:tc>
          <w:tcPr>
            <w:tcW w:w="829" w:type="dxa"/>
          </w:tcPr>
          <w:p/>
          <w:p>
            <w:pPr>
              <w:pStyle w:val="2"/>
              <w:rPr>
                <w:sz w:val="21"/>
                <w:szCs w:val="21"/>
              </w:rPr>
            </w:pPr>
          </w:p>
          <w:p>
            <w:pPr>
              <w:pStyle w:val="2"/>
              <w:rPr>
                <w:sz w:val="21"/>
                <w:szCs w:val="21"/>
              </w:rPr>
            </w:pPr>
          </w:p>
          <w:p>
            <w:pPr>
              <w:pStyle w:val="2"/>
              <w:rPr>
                <w:sz w:val="21"/>
                <w:szCs w:val="21"/>
              </w:rPr>
            </w:pPr>
          </w:p>
          <w:p>
            <w:pPr>
              <w:pStyle w:val="2"/>
              <w:rPr>
                <w:sz w:val="21"/>
                <w:szCs w:val="21"/>
              </w:rPr>
            </w:pPr>
          </w:p>
          <w:p>
            <w:pPr>
              <w:pStyle w:val="2"/>
              <w:rPr>
                <w:sz w:val="21"/>
                <w:szCs w:val="21"/>
              </w:rPr>
            </w:pPr>
          </w:p>
          <w:p>
            <w:pPr>
              <w:pStyle w:val="2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986" w:type="dxa"/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</w:rPr>
              <w:t>监视和测量资源</w:t>
            </w:r>
          </w:p>
        </w:tc>
        <w:tc>
          <w:tcPr>
            <w:tcW w:w="1134" w:type="dxa"/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Q</w:t>
            </w:r>
            <w:r>
              <w:rPr>
                <w:rFonts w:hint="eastAsia"/>
                <w:color w:val="auto"/>
                <w:sz w:val="21"/>
                <w:szCs w:val="21"/>
              </w:rPr>
              <w:t>7.1.5</w:t>
            </w:r>
          </w:p>
        </w:tc>
        <w:tc>
          <w:tcPr>
            <w:tcW w:w="10760" w:type="dxa"/>
            <w:vAlign w:val="center"/>
          </w:tcPr>
          <w:p>
            <w:pPr>
              <w:spacing w:line="360" w:lineRule="auto"/>
              <w:ind w:firstLine="420" w:firstLineChars="200"/>
              <w:rPr>
                <w:rFonts w:hint="default" w:ascii="Times New Roman" w:hAnsi="Times New Roman" w:cs="Times New Roman"/>
                <w:color w:val="auto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2"/>
                <w:lang w:val="en-US" w:eastAsia="zh-CN"/>
              </w:rPr>
              <w:t>该公司属于预包装食品的配送业务，本公司在向客户提供 许可范围内预包装食品（含冷藏冷冻食品）的销售；鲜肉、鲜蛋、干鲜果品、蔬菜、粮油、水产品、调味品的销售过程中，使用相关的文件记录为检测标准，定期对销售人员进行销售服务质量检测，并保留成文记录，不需要监视和测量设备。</w:t>
            </w:r>
          </w:p>
        </w:tc>
        <w:tc>
          <w:tcPr>
            <w:tcW w:w="829" w:type="dxa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986" w:type="dxa"/>
            <w:vAlign w:val="center"/>
          </w:tcPr>
          <w:p>
            <w:pPr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</w:rPr>
              <w:t>运行策划和控制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Q</w:t>
            </w:r>
            <w:r>
              <w:rPr>
                <w:rFonts w:hint="eastAsia"/>
                <w:color w:val="auto"/>
                <w:sz w:val="21"/>
                <w:szCs w:val="21"/>
              </w:rPr>
              <w:t>8.1</w:t>
            </w:r>
          </w:p>
        </w:tc>
        <w:tc>
          <w:tcPr>
            <w:tcW w:w="10760" w:type="dxa"/>
            <w:vAlign w:val="center"/>
          </w:tcPr>
          <w:p>
            <w:pPr>
              <w:spacing w:line="360" w:lineRule="auto"/>
              <w:ind w:firstLine="420" w:firstLineChars="200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申领《食品流通许可证》和《营业执照》，取得食品经营资格；</w:t>
            </w:r>
          </w:p>
          <w:p>
            <w:pPr>
              <w:spacing w:line="360" w:lineRule="auto"/>
              <w:ind w:firstLine="420" w:firstLineChars="200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按照《索证索票制度》和《协议准入制度》的要求对食品供应商进行资格审验，验明所进食品的“三证”、合格检验报告等证明文件；</w:t>
            </w:r>
          </w:p>
          <w:p>
            <w:pPr>
              <w:spacing w:line="360" w:lineRule="auto"/>
              <w:ind w:firstLine="420" w:firstLineChars="200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按照《进货检查验收制度》的要求对食品质量进行检查，并按照《进货台账制度》对购进食品的名称、规格、数量、生产批号、保质期、供货者名称及联系方式、进货日期等内容进行登记，建立台账；</w:t>
            </w:r>
          </w:p>
          <w:p>
            <w:pPr>
              <w:spacing w:line="360" w:lineRule="auto"/>
              <w:ind w:firstLine="420" w:firstLineChars="200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按照《销货台账制度》和《质量自检制度》的要求，对销售食品进行登记检查，定期检查库存食品，及时清理变质或超过保质期的食品，严格执行《不合格产品退市制度》；</w:t>
            </w:r>
          </w:p>
          <w:p>
            <w:pPr>
              <w:spacing w:line="360" w:lineRule="auto"/>
              <w:ind w:firstLine="420" w:firstLineChars="200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按照《食品安全信息公开制度》的要求公示经销食品的安全信息，确保经销食品安全信息准确、有效、发现食品安全不稳定因素的，及时向有关部门报告，并停止销售；</w:t>
            </w:r>
          </w:p>
        </w:tc>
        <w:tc>
          <w:tcPr>
            <w:tcW w:w="829" w:type="dxa"/>
          </w:tcPr>
          <w:p/>
          <w:p>
            <w:pPr>
              <w:pStyle w:val="2"/>
              <w:rPr>
                <w:sz w:val="21"/>
                <w:szCs w:val="21"/>
              </w:rPr>
            </w:pPr>
          </w:p>
          <w:p>
            <w:pPr>
              <w:pStyle w:val="2"/>
              <w:rPr>
                <w:sz w:val="21"/>
                <w:szCs w:val="21"/>
              </w:rPr>
            </w:pPr>
          </w:p>
          <w:p>
            <w:pPr>
              <w:pStyle w:val="2"/>
              <w:rPr>
                <w:sz w:val="21"/>
                <w:szCs w:val="21"/>
              </w:rPr>
            </w:pPr>
          </w:p>
          <w:p>
            <w:pPr>
              <w:pStyle w:val="2"/>
              <w:rPr>
                <w:sz w:val="21"/>
                <w:szCs w:val="21"/>
              </w:rPr>
            </w:pPr>
          </w:p>
          <w:p>
            <w:pPr>
              <w:pStyle w:val="2"/>
              <w:rPr>
                <w:sz w:val="21"/>
                <w:szCs w:val="21"/>
              </w:rPr>
            </w:pPr>
          </w:p>
          <w:p>
            <w:pPr>
              <w:pStyle w:val="2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198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hint="eastAsia"/>
              </w:rPr>
              <w:t>产品和服务的要求</w:t>
            </w:r>
          </w:p>
        </w:tc>
        <w:tc>
          <w:tcPr>
            <w:tcW w:w="1134" w:type="dxa"/>
            <w:vAlign w:val="top"/>
          </w:tcPr>
          <w:p>
            <w:pPr>
              <w:pStyle w:val="2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Q8.2</w:t>
            </w:r>
          </w:p>
        </w:tc>
        <w:tc>
          <w:tcPr>
            <w:tcW w:w="10760" w:type="dxa"/>
            <w:vAlign w:val="top"/>
          </w:tcPr>
          <w:p>
            <w:pPr>
              <w:spacing w:line="360" w:lineRule="auto"/>
              <w:ind w:firstLine="420" w:firstLineChars="200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销售部负责产品和服务要求确定的工作，根据与顾客要求，利用与顾客签订《配送合同》等来满足顾客的要求。</w:t>
            </w:r>
          </w:p>
          <w:p>
            <w:pPr>
              <w:spacing w:line="360" w:lineRule="auto"/>
              <w:ind w:firstLine="420" w:firstLineChars="200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提供有配送合同以及合同评审表。</w:t>
            </w:r>
          </w:p>
          <w:p>
            <w:pPr>
              <w:spacing w:line="360" w:lineRule="auto"/>
              <w:ind w:firstLine="420" w:firstLineChars="200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产品和服务的要求满足标准要求。</w:t>
            </w:r>
          </w:p>
        </w:tc>
        <w:tc>
          <w:tcPr>
            <w:tcW w:w="829" w:type="dxa"/>
          </w:tcPr>
          <w:p/>
          <w:p>
            <w:pPr>
              <w:pStyle w:val="2"/>
              <w:rPr>
                <w:sz w:val="21"/>
                <w:szCs w:val="21"/>
              </w:rPr>
            </w:pPr>
          </w:p>
          <w:p>
            <w:pPr>
              <w:pStyle w:val="2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198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生产和服务提供的控制</w:t>
            </w:r>
          </w:p>
        </w:tc>
        <w:tc>
          <w:tcPr>
            <w:tcW w:w="1134" w:type="dxa"/>
            <w:vAlign w:val="top"/>
          </w:tcPr>
          <w:p>
            <w:pPr>
              <w:pStyle w:val="2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Q8.5.1</w:t>
            </w:r>
          </w:p>
        </w:tc>
        <w:tc>
          <w:tcPr>
            <w:tcW w:w="10760" w:type="dxa"/>
            <w:vAlign w:val="top"/>
          </w:tcPr>
          <w:p>
            <w:pPr>
              <w:spacing w:line="360" w:lineRule="auto"/>
              <w:ind w:firstLine="420" w:firstLineChars="200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制定食品配送经营规范，按照经营规范进行提供销售服务和控制。</w:t>
            </w:r>
          </w:p>
          <w:p>
            <w:pPr>
              <w:spacing w:line="360" w:lineRule="auto"/>
              <w:ind w:firstLine="420" w:firstLineChars="200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食品配送应建立食品储存、报废和出入库台帐，详细记录所采购食品特别食品品名、生产厂家、生产日期（批号）、进货日期、保质期、进货数量、运输包装、产品质量等信息，确保食品从采购、运输、储存到销售环节的可追溯性。</w:t>
            </w:r>
          </w:p>
          <w:p>
            <w:pPr>
              <w:spacing w:line="360" w:lineRule="auto"/>
              <w:ind w:firstLine="420" w:firstLineChars="200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库内储存商品粘贴或吊挂商品识别卡（标签）标识相关信息。识别卡（标签）标识信息至少包括货号、品名、制造商（供应商）、批号、数量、保质期、解冻时间及销售时限等。</w:t>
            </w:r>
          </w:p>
          <w:p>
            <w:pPr>
              <w:spacing w:line="360" w:lineRule="auto"/>
              <w:ind w:firstLine="420" w:firstLineChars="200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食品配送按“先进先出”原则发货给销售部门。认真执行食品入库出库检验登记制度，做到登记清楚，日清月结，帐物相符。对库存商品应定期盘点检查，确保无过期报废食品，并做好相关台帐记录。</w:t>
            </w:r>
          </w:p>
          <w:p>
            <w:pPr>
              <w:spacing w:line="360" w:lineRule="auto"/>
              <w:ind w:firstLine="420" w:firstLineChars="200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冷冻和冷藏食品在装卸和出入库必须保证冷链的持续有效，任何环节中商品脱离冷链时间不得超过30分钟。对货物验收相关单据的整理应科学有效，不应有遗漏。</w:t>
            </w:r>
          </w:p>
          <w:p>
            <w:pPr>
              <w:spacing w:line="360" w:lineRule="auto"/>
              <w:ind w:firstLine="420" w:firstLineChars="200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商品在入库时，必须经过验收通道由收货部人员负责验收，并按进货日期分类编号，按类别存档备查。</w:t>
            </w:r>
          </w:p>
          <w:p>
            <w:pPr>
              <w:spacing w:line="360" w:lineRule="auto"/>
              <w:ind w:firstLine="420" w:firstLineChars="200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对库存商品定期进行保质期和质量检查，发现将过期或腐败变质商品应及时处理。</w:t>
            </w:r>
          </w:p>
          <w:p>
            <w:pPr>
              <w:spacing w:line="360" w:lineRule="auto"/>
              <w:ind w:firstLine="420" w:firstLineChars="200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对货物的存放应有系统的管理，将货物放置在规定的区域范围内，以提高工作效率。</w:t>
            </w:r>
          </w:p>
        </w:tc>
        <w:tc>
          <w:tcPr>
            <w:tcW w:w="829" w:type="dxa"/>
          </w:tcPr>
          <w:p>
            <w:pPr>
              <w:pStyle w:val="2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198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cs="宋体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环境因素/危险源识别评价</w:t>
            </w:r>
          </w:p>
        </w:tc>
        <w:tc>
          <w:tcPr>
            <w:tcW w:w="1134" w:type="dxa"/>
            <w:vAlign w:val="top"/>
          </w:tcPr>
          <w:p>
            <w:pPr>
              <w:pStyle w:val="2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EO/6.1.2</w:t>
            </w:r>
          </w:p>
        </w:tc>
        <w:tc>
          <w:tcPr>
            <w:tcW w:w="10760" w:type="dxa"/>
            <w:vAlign w:val="top"/>
          </w:tcPr>
          <w:p>
            <w:pPr>
              <w:spacing w:line="360" w:lineRule="auto"/>
              <w:ind w:firstLine="420" w:firstLineChars="2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编制了《环境因素识别与评价控制程序》，经查基本符合标准要求。</w:t>
            </w:r>
          </w:p>
          <w:p>
            <w:pPr>
              <w:spacing w:line="360" w:lineRule="auto"/>
              <w:ind w:firstLine="420" w:firstLineChars="2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提供《环境因素评价表》，包括潜在火灾、固废废弃等。</w:t>
            </w:r>
          </w:p>
          <w:p>
            <w:pPr>
              <w:spacing w:line="360" w:lineRule="auto"/>
              <w:ind w:firstLine="420" w:firstLineChars="2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可以提供《重要环境因素清单》，其中重要环境因素：潜在火灾、固废。</w:t>
            </w:r>
          </w:p>
          <w:p>
            <w:pPr>
              <w:spacing w:line="360" w:lineRule="auto"/>
              <w:ind w:firstLine="420" w:firstLineChars="2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评价基本合理并制定有控制措施。</w:t>
            </w:r>
          </w:p>
          <w:p>
            <w:pPr>
              <w:spacing w:line="360" w:lineRule="auto"/>
              <w:ind w:firstLine="420" w:firstLineChars="2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提供了职业健康安全危险源识别与评价表，涉及本部门的危险源包括：潜在火灾、新冠疫情。</w:t>
            </w:r>
          </w:p>
          <w:p>
            <w:pPr>
              <w:spacing w:line="360" w:lineRule="auto"/>
              <w:ind w:firstLine="420" w:firstLineChars="2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用LEC法对识别的危险源进行评价，本部门不可接受风险：潜在火灾、新冠疫情。</w:t>
            </w:r>
          </w:p>
          <w:p>
            <w:pPr>
              <w:spacing w:line="360" w:lineRule="auto"/>
              <w:ind w:firstLine="420" w:firstLineChars="200"/>
              <w:rPr>
                <w:rFonts w:hint="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评价基本合理并制定有控制措施。</w:t>
            </w:r>
          </w:p>
        </w:tc>
        <w:tc>
          <w:tcPr>
            <w:tcW w:w="829" w:type="dxa"/>
          </w:tcPr>
          <w:p/>
          <w:p>
            <w:pPr>
              <w:pStyle w:val="2"/>
              <w:rPr>
                <w:sz w:val="21"/>
                <w:szCs w:val="21"/>
              </w:rPr>
            </w:pPr>
          </w:p>
          <w:p>
            <w:pPr>
              <w:pStyle w:val="2"/>
              <w:rPr>
                <w:sz w:val="21"/>
                <w:szCs w:val="21"/>
              </w:rPr>
            </w:pPr>
          </w:p>
          <w:p>
            <w:pPr>
              <w:pStyle w:val="2"/>
              <w:rPr>
                <w:sz w:val="21"/>
                <w:szCs w:val="21"/>
              </w:rPr>
            </w:pPr>
          </w:p>
          <w:p>
            <w:pPr>
              <w:pStyle w:val="2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198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/>
                <w:color w:val="auto"/>
              </w:rPr>
              <w:t>合规义务</w:t>
            </w:r>
          </w:p>
        </w:tc>
        <w:tc>
          <w:tcPr>
            <w:tcW w:w="1134" w:type="dxa"/>
            <w:vAlign w:val="top"/>
          </w:tcPr>
          <w:p>
            <w:pPr>
              <w:pStyle w:val="2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EO6.1.3</w:t>
            </w:r>
          </w:p>
        </w:tc>
        <w:tc>
          <w:tcPr>
            <w:tcW w:w="10760" w:type="dxa"/>
            <w:vAlign w:val="center"/>
          </w:tcPr>
          <w:p>
            <w:pPr>
              <w:spacing w:line="360" w:lineRule="auto"/>
              <w:ind w:firstLine="420" w:firstLineChars="200"/>
              <w:rPr>
                <w:rFonts w:hint="eastAsia" w:ascii="Times New Roman" w:hAnsi="Times New Roman" w:cs="Times New Roman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2"/>
                <w:lang w:val="en-US" w:eastAsia="zh-CN"/>
              </w:rPr>
              <w:t>提供法律法规的收集、识别、适宜性确认和合规性评价。</w:t>
            </w:r>
          </w:p>
          <w:p>
            <w:pPr>
              <w:spacing w:line="360" w:lineRule="auto"/>
              <w:ind w:firstLine="420" w:firstLineChars="200"/>
              <w:rPr>
                <w:rFonts w:hint="eastAsia" w:ascii="Times New Roman" w:hAnsi="Times New Roman" w:cs="Times New Roman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2"/>
                <w:lang w:val="en-US" w:eastAsia="zh-CN"/>
              </w:rPr>
              <w:t>1. 建立了《法律法规与其他要求管理程序》，描述了目的、职责、适用范围、获取途径、更新和传递。文件基本符合要求。</w:t>
            </w:r>
          </w:p>
          <w:p>
            <w:pPr>
              <w:spacing w:line="360" w:lineRule="auto"/>
              <w:ind w:firstLine="420" w:firstLineChars="200"/>
              <w:rPr>
                <w:rFonts w:hint="eastAsia" w:ascii="Times New Roman" w:hAnsi="Times New Roman" w:cs="Times New Roman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2"/>
                <w:lang w:val="en-US" w:eastAsia="zh-CN"/>
              </w:rPr>
              <w:t>2. 公司通过网络、出版机构、书店、专业性报刊、咨询机构、认证机构等渠道收集、评价适用的相关法律法规和其他要求：</w:t>
            </w:r>
          </w:p>
          <w:p>
            <w:pPr>
              <w:spacing w:line="360" w:lineRule="auto"/>
              <w:ind w:firstLine="420" w:firstLineChars="200"/>
              <w:rPr>
                <w:rFonts w:hint="eastAsia" w:ascii="Times New Roman" w:hAnsi="Times New Roman" w:cs="Times New Roman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2"/>
                <w:lang w:val="en-US" w:eastAsia="zh-CN"/>
              </w:rPr>
              <w:t>3、提供了《法律法规、标准和其他要求清单》，共收集法律法规87个。其中涉及质量的5个、涉及环境的30个、涉及职业健康安全的31个，主要有：中华人民共和国环境保护法、环境噪声污染防治法、安全生产法、固体废物污染防治法、大气污染防治法、水污染防治法、职业病防治法、劳动法、消防法等。对适用的条款进行了适用性确认。</w:t>
            </w:r>
          </w:p>
          <w:p>
            <w:pPr>
              <w:spacing w:line="360" w:lineRule="auto"/>
              <w:ind w:firstLine="420" w:firstLineChars="200"/>
              <w:rPr>
                <w:rFonts w:hint="default" w:ascii="Times New Roman" w:hAnsi="Times New Roman" w:cs="Times New Roman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FF"/>
                <w:szCs w:val="22"/>
                <w:lang w:val="en-US" w:eastAsia="zh-CN"/>
              </w:rPr>
              <w:t>没有识别“《食品经营许可管理办法》、《食用农产品市场销售质量安全监督管理办法》、《食品生产经营日常监督检查管理办法》、《网络餐饮服务食品安全监督管理办法》、《网络食品安全违法行为查处办法》</w:t>
            </w:r>
            <w:r>
              <w:rPr>
                <w:rFonts w:hint="default" w:ascii="Times New Roman" w:hAnsi="Times New Roman" w:cs="Times New Roman"/>
                <w:color w:val="0000FF"/>
                <w:szCs w:val="22"/>
                <w:lang w:val="en-US" w:eastAsia="zh-CN"/>
              </w:rPr>
              <w:t>,《餐饮服务食品安全操作规范》、</w:t>
            </w:r>
            <w:r>
              <w:rPr>
                <w:rFonts w:hint="eastAsia" w:ascii="Times New Roman" w:hAnsi="Times New Roman" w:cs="Times New Roman"/>
                <w:color w:val="0000FF"/>
                <w:szCs w:val="22"/>
                <w:lang w:val="en-US" w:eastAsia="zh-CN"/>
              </w:rPr>
              <w:t>中华人民共和国安全生产法、GB7718-2018预包装食品标签通则、流通领域食品安全管理办法、《国务院关于加强食品等产品安全监督管理的特别规定》（国务院令第503号）、食品标识管理规定、GB/T20940肉类制品企业良好操作规范、GB23346食品良好流通规范”等法律法规及其他要求。</w:t>
            </w:r>
          </w:p>
        </w:tc>
        <w:tc>
          <w:tcPr>
            <w:tcW w:w="829" w:type="dxa"/>
          </w:tcPr>
          <w:p>
            <w:pPr>
              <w:pStyle w:val="2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198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/>
                <w:color w:val="auto"/>
              </w:rPr>
              <w:t>措施的策划</w:t>
            </w:r>
          </w:p>
        </w:tc>
        <w:tc>
          <w:tcPr>
            <w:tcW w:w="1134" w:type="dxa"/>
            <w:vAlign w:val="top"/>
          </w:tcPr>
          <w:p>
            <w:pPr>
              <w:pStyle w:val="2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EO6.1.4</w:t>
            </w:r>
          </w:p>
        </w:tc>
        <w:tc>
          <w:tcPr>
            <w:tcW w:w="10760" w:type="dxa"/>
            <w:vAlign w:val="top"/>
          </w:tcPr>
          <w:p>
            <w:pPr>
              <w:spacing w:line="360" w:lineRule="auto"/>
              <w:ind w:firstLine="420" w:firstLineChars="200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宋体"/>
                <w:color w:val="auto"/>
              </w:rPr>
              <w:t>风险控制策划遵循“消除、预防、减小、隔离、个体防护”和分级控制的原则。对</w:t>
            </w:r>
            <w:r>
              <w:rPr>
                <w:rFonts w:hint="eastAsia" w:ascii="华文中宋" w:hAnsi="华文中宋" w:eastAsia="华文中宋" w:cs="宋体"/>
                <w:color w:val="auto"/>
                <w:lang w:val="en-US" w:eastAsia="zh-CN"/>
              </w:rPr>
              <w:t>重要环境因素/</w:t>
            </w:r>
            <w:r>
              <w:rPr>
                <w:rFonts w:hint="eastAsia" w:ascii="华文中宋" w:hAnsi="华文中宋" w:eastAsia="华文中宋" w:cs="宋体"/>
                <w:color w:val="auto"/>
              </w:rPr>
              <w:t>不可容许风险，采取相应的风险控制措施降低风险，使其达到可</w:t>
            </w:r>
            <w:r>
              <w:rPr>
                <w:rFonts w:hint="eastAsia" w:ascii="华文中宋" w:hAnsi="华文中宋" w:eastAsia="华文中宋" w:cs="宋体"/>
                <w:color w:val="auto"/>
                <w:lang w:val="en-US" w:eastAsia="zh-CN"/>
              </w:rPr>
              <w:t>接受</w:t>
            </w:r>
            <w:r>
              <w:rPr>
                <w:rFonts w:hint="eastAsia" w:ascii="华文中宋" w:hAnsi="华文中宋" w:eastAsia="华文中宋" w:cs="宋体"/>
                <w:color w:val="auto"/>
              </w:rPr>
              <w:t>程度；保持相应的风险控制措施并不断监视，防止其风险变大以至超出可容许的范围。</w:t>
            </w:r>
          </w:p>
        </w:tc>
        <w:tc>
          <w:tcPr>
            <w:tcW w:w="829" w:type="dxa"/>
          </w:tcPr>
          <w:p>
            <w:pPr>
              <w:pStyle w:val="2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y</w:t>
            </w:r>
          </w:p>
        </w:tc>
      </w:tr>
    </w:tbl>
    <w:p>
      <w:pPr>
        <w:pStyle w:val="4"/>
        <w:rPr>
          <w:rFonts w:hint="eastAsia"/>
          <w:sz w:val="21"/>
          <w:szCs w:val="21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554.75pt;margin-top:2.2pt;height:20.2pt;width:17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13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672CA2"/>
    <w:rsid w:val="043130EE"/>
    <w:rsid w:val="07E054B4"/>
    <w:rsid w:val="07EF63EC"/>
    <w:rsid w:val="09136E22"/>
    <w:rsid w:val="099E3A66"/>
    <w:rsid w:val="0C4A4BE1"/>
    <w:rsid w:val="0F535804"/>
    <w:rsid w:val="0F5F2CA2"/>
    <w:rsid w:val="10554EDD"/>
    <w:rsid w:val="12DB5940"/>
    <w:rsid w:val="132011BC"/>
    <w:rsid w:val="15A6299A"/>
    <w:rsid w:val="18EC7036"/>
    <w:rsid w:val="19517451"/>
    <w:rsid w:val="1A4873EA"/>
    <w:rsid w:val="1AB56CF2"/>
    <w:rsid w:val="2090758A"/>
    <w:rsid w:val="22C248E2"/>
    <w:rsid w:val="27D47017"/>
    <w:rsid w:val="28E1001D"/>
    <w:rsid w:val="29287B01"/>
    <w:rsid w:val="29BC0075"/>
    <w:rsid w:val="2A726582"/>
    <w:rsid w:val="2A993974"/>
    <w:rsid w:val="2BCC6C74"/>
    <w:rsid w:val="2E177B63"/>
    <w:rsid w:val="2EA56094"/>
    <w:rsid w:val="30563DE0"/>
    <w:rsid w:val="316B456C"/>
    <w:rsid w:val="32473A4C"/>
    <w:rsid w:val="330B5A81"/>
    <w:rsid w:val="348B159A"/>
    <w:rsid w:val="34CD146B"/>
    <w:rsid w:val="35875204"/>
    <w:rsid w:val="36D01390"/>
    <w:rsid w:val="37F71D8F"/>
    <w:rsid w:val="39E83A7C"/>
    <w:rsid w:val="3E0D73A2"/>
    <w:rsid w:val="3F2F7D42"/>
    <w:rsid w:val="43223ED7"/>
    <w:rsid w:val="46793D72"/>
    <w:rsid w:val="469054FE"/>
    <w:rsid w:val="49464C15"/>
    <w:rsid w:val="4C330D73"/>
    <w:rsid w:val="50513254"/>
    <w:rsid w:val="52D85EA9"/>
    <w:rsid w:val="57C60632"/>
    <w:rsid w:val="5B266AA5"/>
    <w:rsid w:val="5BBF3897"/>
    <w:rsid w:val="5CB555B0"/>
    <w:rsid w:val="5F13006F"/>
    <w:rsid w:val="67EF5E0C"/>
    <w:rsid w:val="6A446D2A"/>
    <w:rsid w:val="6A7B34F7"/>
    <w:rsid w:val="6ED9794E"/>
    <w:rsid w:val="70B74C26"/>
    <w:rsid w:val="73AB34AD"/>
    <w:rsid w:val="74C81C51"/>
    <w:rsid w:val="750F2076"/>
    <w:rsid w:val="76C52D96"/>
    <w:rsid w:val="77B0498B"/>
    <w:rsid w:val="7A056DC0"/>
    <w:rsid w:val="7C50370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next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2">
    <w:name w:val="_Style 2"/>
    <w:basedOn w:val="1"/>
    <w:qFormat/>
    <w:uiPriority w:val="34"/>
    <w:pPr>
      <w:adjustRightInd w:val="0"/>
      <w:spacing w:line="312" w:lineRule="atLeast"/>
      <w:ind w:firstLine="420" w:firstLineChars="200"/>
      <w:textAlignment w:val="baseline"/>
    </w:pPr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</Words>
  <Characters>86</Characters>
  <Lines>1</Lines>
  <Paragraphs>1</Paragraphs>
  <TotalTime>0</TotalTime>
  <ScaleCrop>false</ScaleCrop>
  <LinksUpToDate>false</LinksUpToDate>
  <CharactersWithSpaces>100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Joyce</cp:lastModifiedBy>
  <dcterms:modified xsi:type="dcterms:W3CDTF">2020-09-08T04:14:03Z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