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z w:val="21"/>
          <w:szCs w:val="21"/>
        </w:rPr>
      </w:pPr>
    </w:p>
    <w:p>
      <w:pPr>
        <w:spacing w:line="480" w:lineRule="exact"/>
        <w:jc w:val="center"/>
        <w:rPr>
          <w:rFonts w:ascii="隶书" w:hAnsi="宋体" w:eastAsia="隶书"/>
          <w:bCs/>
          <w:color w:val="000000"/>
          <w:sz w:val="21"/>
          <w:szCs w:val="21"/>
        </w:rPr>
      </w:pPr>
      <w:r>
        <w:rPr>
          <w:rFonts w:hint="eastAsia" w:ascii="隶书" w:hAnsi="宋体" w:eastAsia="隶书"/>
          <w:bCs/>
          <w:color w:val="000000"/>
          <w:sz w:val="21"/>
          <w:szCs w:val="21"/>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032"/>
        <w:gridCol w:w="1076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88"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032" w:type="dxa"/>
            <w:vMerge w:val="restart"/>
            <w:vAlign w:val="center"/>
          </w:tcPr>
          <w:p>
            <w:pPr>
              <w:rPr>
                <w:color w:val="auto"/>
                <w:sz w:val="21"/>
                <w:szCs w:val="21"/>
              </w:rPr>
            </w:pPr>
            <w:r>
              <w:rPr>
                <w:rFonts w:hint="eastAsia"/>
                <w:color w:val="auto"/>
                <w:sz w:val="21"/>
                <w:szCs w:val="21"/>
              </w:rPr>
              <w:t>涉及</w:t>
            </w:r>
          </w:p>
          <w:p>
            <w:pPr>
              <w:rPr>
                <w:color w:val="auto"/>
                <w:sz w:val="21"/>
                <w:szCs w:val="21"/>
              </w:rPr>
            </w:pPr>
            <w:r>
              <w:rPr>
                <w:rFonts w:hint="eastAsia"/>
                <w:color w:val="auto"/>
                <w:sz w:val="21"/>
                <w:szCs w:val="21"/>
              </w:rPr>
              <w:t>条款</w:t>
            </w:r>
          </w:p>
        </w:tc>
        <w:tc>
          <w:tcPr>
            <w:tcW w:w="10760" w:type="dxa"/>
            <w:vAlign w:val="center"/>
          </w:tcPr>
          <w:p>
            <w:pPr>
              <w:rPr>
                <w:color w:val="auto"/>
                <w:sz w:val="21"/>
                <w:szCs w:val="21"/>
              </w:rPr>
            </w:pPr>
            <w:r>
              <w:rPr>
                <w:rFonts w:hint="eastAsia" w:cs="宋体"/>
                <w:color w:val="auto"/>
                <w:sz w:val="21"/>
                <w:szCs w:val="21"/>
              </w:rPr>
              <w:t>受审核部门：</w:t>
            </w:r>
            <w:r>
              <w:rPr>
                <w:rFonts w:hint="eastAsia"/>
                <w:color w:val="auto"/>
                <w:sz w:val="21"/>
                <w:szCs w:val="21"/>
                <w:lang w:val="en-US" w:eastAsia="zh-CN"/>
              </w:rPr>
              <w:t>综合部</w:t>
            </w:r>
            <w:r>
              <w:rPr>
                <w:rFonts w:hint="eastAsia" w:ascii="宋体" w:hAnsi="宋体"/>
                <w:color w:val="auto"/>
                <w:sz w:val="21"/>
                <w:szCs w:val="21"/>
              </w:rPr>
              <w:t xml:space="preserve">   </w:t>
            </w:r>
            <w:r>
              <w:rPr>
                <w:color w:val="auto"/>
                <w:sz w:val="21"/>
                <w:szCs w:val="21"/>
              </w:rPr>
              <w:t xml:space="preserve">   </w:t>
            </w:r>
            <w:r>
              <w:rPr>
                <w:rFonts w:hint="eastAsia" w:cs="宋体"/>
                <w:color w:val="auto"/>
                <w:sz w:val="21"/>
                <w:szCs w:val="21"/>
              </w:rPr>
              <w:t>主管领导：武虎明</w:t>
            </w:r>
            <w:r>
              <w:rPr>
                <w:rFonts w:hint="eastAsia" w:cs="宋体"/>
                <w:color w:val="auto"/>
                <w:sz w:val="21"/>
                <w:szCs w:val="21"/>
                <w:lang w:val="en-US" w:eastAsia="zh-CN"/>
              </w:rPr>
              <w:t xml:space="preserve">       </w:t>
            </w:r>
            <w:r>
              <w:rPr>
                <w:color w:val="auto"/>
                <w:sz w:val="21"/>
                <w:szCs w:val="21"/>
              </w:rPr>
              <w:t xml:space="preserve">  </w:t>
            </w:r>
          </w:p>
        </w:tc>
        <w:tc>
          <w:tcPr>
            <w:tcW w:w="829"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88" w:type="dxa"/>
            <w:vMerge w:val="continue"/>
            <w:vAlign w:val="center"/>
          </w:tcPr>
          <w:p>
            <w:pPr>
              <w:rPr>
                <w:sz w:val="21"/>
                <w:szCs w:val="21"/>
              </w:rPr>
            </w:pPr>
          </w:p>
        </w:tc>
        <w:tc>
          <w:tcPr>
            <w:tcW w:w="1032" w:type="dxa"/>
            <w:vMerge w:val="continue"/>
            <w:vAlign w:val="center"/>
          </w:tcPr>
          <w:p>
            <w:pPr>
              <w:rPr>
                <w:color w:val="auto"/>
                <w:sz w:val="21"/>
                <w:szCs w:val="21"/>
              </w:rPr>
            </w:pPr>
          </w:p>
        </w:tc>
        <w:tc>
          <w:tcPr>
            <w:tcW w:w="10760" w:type="dxa"/>
            <w:vAlign w:val="center"/>
          </w:tcPr>
          <w:p>
            <w:pPr>
              <w:spacing w:before="120"/>
              <w:rPr>
                <w:rFonts w:hint="eastAsia" w:eastAsia="宋体"/>
                <w:color w:val="auto"/>
                <w:sz w:val="21"/>
                <w:szCs w:val="21"/>
                <w:lang w:eastAsia="zh-CN"/>
              </w:rPr>
            </w:pPr>
            <w:r>
              <w:rPr>
                <w:rFonts w:hint="eastAsia" w:cs="宋体"/>
                <w:color w:val="auto"/>
                <w:sz w:val="21"/>
                <w:szCs w:val="21"/>
              </w:rPr>
              <w:t>审核员：</w:t>
            </w:r>
            <w:r>
              <w:rPr>
                <w:rFonts w:hint="eastAsia" w:ascii="宋体" w:hAnsi="宋体"/>
                <w:color w:val="auto"/>
                <w:sz w:val="21"/>
                <w:szCs w:val="21"/>
                <w:lang w:val="en-US" w:eastAsia="zh-CN"/>
              </w:rPr>
              <w:t xml:space="preserve">周涛  </w:t>
            </w:r>
            <w:r>
              <w:rPr>
                <w:rFonts w:hint="eastAsia" w:asciiTheme="minorEastAsia" w:hAnsiTheme="minorEastAsia" w:eastAsiaTheme="minorEastAsia" w:cstheme="minorEastAsia"/>
                <w:color w:val="auto"/>
                <w:sz w:val="21"/>
                <w:szCs w:val="21"/>
                <w:lang w:val="en-US" w:eastAsia="zh-CN"/>
              </w:rPr>
              <w:t xml:space="preserve"> 李君(实习)</w:t>
            </w:r>
            <w:bookmarkStart w:id="0" w:name="_GoBack"/>
            <w:bookmarkEnd w:id="0"/>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color w:val="auto"/>
                <w:sz w:val="21"/>
                <w:szCs w:val="21"/>
              </w:rPr>
              <w:t xml:space="preserve">    </w:t>
            </w:r>
            <w:r>
              <w:rPr>
                <w:rFonts w:hint="eastAsia" w:cs="宋体"/>
                <w:color w:val="auto"/>
                <w:sz w:val="21"/>
                <w:szCs w:val="21"/>
              </w:rPr>
              <w:t>审核时间：</w:t>
            </w:r>
            <w:r>
              <w:rPr>
                <w:rFonts w:hint="eastAsia"/>
                <w:color w:val="auto"/>
                <w:sz w:val="21"/>
                <w:szCs w:val="21"/>
              </w:rPr>
              <w:t>2020.0</w:t>
            </w:r>
            <w:r>
              <w:rPr>
                <w:color w:val="auto"/>
                <w:sz w:val="21"/>
                <w:szCs w:val="21"/>
              </w:rPr>
              <w:t>8</w:t>
            </w:r>
            <w:r>
              <w:rPr>
                <w:rFonts w:hint="eastAsia"/>
                <w:color w:val="auto"/>
                <w:sz w:val="21"/>
                <w:szCs w:val="21"/>
              </w:rPr>
              <w:t>.</w:t>
            </w:r>
            <w:r>
              <w:rPr>
                <w:rFonts w:hint="eastAsia"/>
                <w:color w:val="auto"/>
                <w:sz w:val="21"/>
                <w:szCs w:val="21"/>
                <w:lang w:val="en-US" w:eastAsia="zh-CN"/>
              </w:rPr>
              <w:t>29</w:t>
            </w:r>
          </w:p>
        </w:tc>
        <w:tc>
          <w:tcPr>
            <w:tcW w:w="82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88" w:type="dxa"/>
            <w:vMerge w:val="continue"/>
            <w:vAlign w:val="center"/>
          </w:tcPr>
          <w:p>
            <w:pPr>
              <w:rPr>
                <w:sz w:val="21"/>
                <w:szCs w:val="21"/>
              </w:rPr>
            </w:pPr>
          </w:p>
        </w:tc>
        <w:tc>
          <w:tcPr>
            <w:tcW w:w="1032" w:type="dxa"/>
            <w:vMerge w:val="continue"/>
            <w:vAlign w:val="center"/>
          </w:tcPr>
          <w:p>
            <w:pPr>
              <w:rPr>
                <w:color w:val="auto"/>
                <w:sz w:val="21"/>
                <w:szCs w:val="21"/>
              </w:rPr>
            </w:pPr>
          </w:p>
        </w:tc>
        <w:tc>
          <w:tcPr>
            <w:tcW w:w="10760" w:type="dxa"/>
            <w:vAlign w:val="center"/>
          </w:tcPr>
          <w:p>
            <w:pPr>
              <w:spacing w:beforeLines="25" w:afterLines="25"/>
              <w:rPr>
                <w:rFonts w:hint="eastAsia"/>
                <w:color w:val="auto"/>
                <w:lang w:eastAsia="zh-CN"/>
              </w:rPr>
            </w:pPr>
            <w:r>
              <w:rPr>
                <w:rFonts w:hint="eastAsia"/>
                <w:color w:val="auto"/>
              </w:rPr>
              <w:t>审核条款：</w:t>
            </w:r>
            <w:r>
              <w:rPr>
                <w:rFonts w:hint="eastAsia"/>
                <w:color w:val="auto"/>
                <w:lang w:eastAsia="zh-CN"/>
              </w:rPr>
              <w:t>远程</w:t>
            </w:r>
            <w:r>
              <w:rPr>
                <w:rFonts w:hint="eastAsia"/>
                <w:color w:val="auto"/>
              </w:rPr>
              <w:t>基本情况（包括</w:t>
            </w:r>
            <w:r>
              <w:rPr>
                <w:rFonts w:hint="eastAsia"/>
                <w:color w:val="auto"/>
                <w:lang w:val="en-US" w:eastAsia="zh-CN"/>
              </w:rPr>
              <w:t>产品实现</w:t>
            </w:r>
            <w:r>
              <w:rPr>
                <w:rFonts w:hint="eastAsia"/>
                <w:color w:val="auto"/>
              </w:rPr>
              <w:t>流程、设备、监视和测量设备等）资源的配置、特殊过程识别</w:t>
            </w:r>
            <w:r>
              <w:rPr>
                <w:rFonts w:hint="eastAsia"/>
                <w:color w:val="auto"/>
                <w:lang w:eastAsia="zh-CN"/>
              </w:rPr>
              <w:t>；</w:t>
            </w:r>
          </w:p>
          <w:p>
            <w:pPr>
              <w:spacing w:line="360" w:lineRule="auto"/>
              <w:jc w:val="both"/>
              <w:rPr>
                <w:rFonts w:hint="default"/>
                <w:color w:val="auto"/>
                <w:lang w:val="en-US" w:eastAsia="zh-CN"/>
              </w:rPr>
            </w:pPr>
            <w:r>
              <w:rPr>
                <w:rFonts w:hint="eastAsia"/>
                <w:color w:val="auto"/>
                <w:lang w:val="en-US" w:eastAsia="zh-CN"/>
              </w:rPr>
              <w:t>了解对相关方及需求的识别；了解是否有外包?</w:t>
            </w:r>
          </w:p>
          <w:p>
            <w:pPr>
              <w:spacing w:line="360" w:lineRule="auto"/>
              <w:jc w:val="both"/>
              <w:rPr>
                <w:rFonts w:hint="eastAsia"/>
                <w:color w:val="auto"/>
                <w:lang w:val="en-US" w:eastAsia="zh-CN"/>
              </w:rPr>
            </w:pPr>
            <w:r>
              <w:rPr>
                <w:rFonts w:hint="eastAsia"/>
                <w:color w:val="auto"/>
              </w:rPr>
              <w:t>了解受审核方采购</w:t>
            </w:r>
            <w:r>
              <w:rPr>
                <w:rFonts w:hint="eastAsia"/>
                <w:color w:val="auto"/>
                <w:lang w:eastAsia="zh-CN"/>
              </w:rPr>
              <w:t>涉及的质量、环境、职业健康安全的相关活动</w:t>
            </w:r>
          </w:p>
          <w:p>
            <w:pPr>
              <w:rPr>
                <w:rFonts w:hint="eastAsia"/>
                <w:color w:val="auto"/>
                <w:sz w:val="21"/>
                <w:szCs w:val="21"/>
                <w:lang w:val="en-US" w:eastAsia="zh-CN"/>
              </w:rPr>
            </w:pPr>
            <w:r>
              <w:rPr>
                <w:rFonts w:hint="eastAsia"/>
                <w:color w:val="auto"/>
                <w:lang w:val="en-US" w:eastAsia="zh-CN"/>
              </w:rPr>
              <w:t>涉及条款：</w:t>
            </w:r>
            <w:r>
              <w:rPr>
                <w:rFonts w:hint="eastAsia"/>
                <w:color w:val="auto"/>
                <w:sz w:val="21"/>
                <w:szCs w:val="21"/>
                <w:lang w:val="en-US" w:eastAsia="zh-CN"/>
              </w:rPr>
              <w:t>Q8.4     EO6.1.2/6.1.3/9.1.2  O8.1.4</w:t>
            </w:r>
          </w:p>
        </w:tc>
        <w:tc>
          <w:tcPr>
            <w:tcW w:w="82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88" w:type="dxa"/>
            <w:vAlign w:val="top"/>
          </w:tcPr>
          <w:p>
            <w:pPr>
              <w:keepNext w:val="0"/>
              <w:keepLines w:val="0"/>
              <w:widowControl/>
              <w:suppressLineNumbers w:val="0"/>
              <w:jc w:val="left"/>
              <w:rPr>
                <w:rFonts w:hint="eastAsia"/>
              </w:rPr>
            </w:pPr>
            <w:r>
              <w:rPr>
                <w:rFonts w:hint="eastAsia"/>
              </w:rPr>
              <w:t>外部提供的过程、产品和服务的控制</w:t>
            </w:r>
          </w:p>
        </w:tc>
        <w:tc>
          <w:tcPr>
            <w:tcW w:w="1032" w:type="dxa"/>
            <w:vAlign w:val="top"/>
          </w:tcPr>
          <w:p>
            <w:pPr>
              <w:pStyle w:val="9"/>
              <w:rPr>
                <w:rFonts w:hint="eastAsia"/>
                <w:sz w:val="21"/>
                <w:szCs w:val="21"/>
                <w:lang w:val="en-US" w:eastAsia="zh-CN"/>
              </w:rPr>
            </w:pPr>
            <w:r>
              <w:rPr>
                <w:rFonts w:hint="eastAsia"/>
                <w:sz w:val="21"/>
                <w:szCs w:val="21"/>
                <w:lang w:val="en-US" w:eastAsia="zh-CN"/>
              </w:rPr>
              <w:t>Q8.4</w:t>
            </w:r>
          </w:p>
          <w:p>
            <w:pPr>
              <w:pStyle w:val="9"/>
              <w:rPr>
                <w:rFonts w:hint="default"/>
                <w:sz w:val="21"/>
                <w:szCs w:val="21"/>
                <w:lang w:val="en-US" w:eastAsia="zh-CN"/>
              </w:rPr>
            </w:pPr>
            <w:r>
              <w:rPr>
                <w:rFonts w:hint="eastAsia"/>
                <w:sz w:val="21"/>
                <w:szCs w:val="21"/>
                <w:lang w:val="en-US" w:eastAsia="zh-CN"/>
              </w:rPr>
              <w:t>O8.1.4</w:t>
            </w:r>
          </w:p>
        </w:tc>
        <w:tc>
          <w:tcPr>
            <w:tcW w:w="10760" w:type="dxa"/>
            <w:vAlign w:val="top"/>
          </w:tcPr>
          <w:p>
            <w:pPr>
              <w:spacing w:line="360" w:lineRule="auto"/>
              <w:ind w:firstLine="420" w:firstLineChars="200"/>
              <w:rPr>
                <w:rFonts w:hint="eastAsia"/>
                <w:lang w:val="en-US" w:eastAsia="zh-CN"/>
              </w:rPr>
            </w:pPr>
            <w:r>
              <w:rPr>
                <w:rFonts w:hint="eastAsia"/>
                <w:lang w:val="en-US" w:eastAsia="zh-CN"/>
              </w:rPr>
              <w:t>提供《合格供方名录》，对供方进行了合格评价，</w:t>
            </w:r>
          </w:p>
          <w:p>
            <w:pPr>
              <w:spacing w:line="360" w:lineRule="auto"/>
              <w:ind w:firstLine="420" w:firstLineChars="200"/>
              <w:rPr>
                <w:rFonts w:hint="eastAsia"/>
                <w:lang w:val="en-US" w:eastAsia="zh-CN"/>
              </w:rPr>
            </w:pPr>
            <w:r>
              <w:rPr>
                <w:rFonts w:hint="eastAsia"/>
                <w:lang w:val="en-US" w:eastAsia="zh-CN"/>
              </w:rPr>
              <w:t>供应商审核</w:t>
            </w:r>
          </w:p>
          <w:p>
            <w:pPr>
              <w:spacing w:line="360" w:lineRule="auto"/>
              <w:ind w:firstLine="420" w:firstLineChars="200"/>
              <w:rPr>
                <w:rFonts w:hint="eastAsia"/>
                <w:lang w:val="en-US" w:eastAsia="zh-CN"/>
              </w:rPr>
            </w:pPr>
            <w:r>
              <w:rPr>
                <w:rFonts w:hint="eastAsia"/>
                <w:lang w:val="en-US" w:eastAsia="zh-CN"/>
              </w:rPr>
              <w:t>供应商引进的条件</w:t>
            </w:r>
          </w:p>
          <w:p>
            <w:pPr>
              <w:spacing w:line="360" w:lineRule="auto"/>
              <w:ind w:firstLine="420" w:firstLineChars="200"/>
              <w:rPr>
                <w:rFonts w:hint="eastAsia"/>
                <w:lang w:val="en-US" w:eastAsia="zh-CN"/>
              </w:rPr>
            </w:pPr>
            <w:r>
              <w:rPr>
                <w:rFonts w:hint="eastAsia"/>
                <w:lang w:val="en-US" w:eastAsia="zh-CN"/>
              </w:rPr>
              <w:t>公司有明确的供应商引进标准。</w:t>
            </w:r>
          </w:p>
          <w:p>
            <w:pPr>
              <w:spacing w:line="360" w:lineRule="auto"/>
              <w:ind w:firstLine="420" w:firstLineChars="200"/>
              <w:rPr>
                <w:rFonts w:hint="eastAsia"/>
                <w:lang w:val="en-US" w:eastAsia="zh-CN"/>
              </w:rPr>
            </w:pPr>
            <w:r>
              <w:rPr>
                <w:rFonts w:hint="eastAsia"/>
                <w:lang w:val="en-US" w:eastAsia="zh-CN"/>
              </w:rPr>
              <w:t>资质审核</w:t>
            </w:r>
          </w:p>
          <w:p>
            <w:pPr>
              <w:spacing w:line="360" w:lineRule="auto"/>
              <w:ind w:firstLine="420" w:firstLineChars="200"/>
              <w:rPr>
                <w:rFonts w:hint="eastAsia"/>
                <w:lang w:val="en-US" w:eastAsia="zh-CN"/>
              </w:rPr>
            </w:pPr>
            <w:r>
              <w:rPr>
                <w:rFonts w:hint="eastAsia"/>
                <w:lang w:val="en-US" w:eastAsia="zh-CN"/>
              </w:rPr>
              <w:t>1、了解供应商的企业资质信用情况。</w:t>
            </w:r>
          </w:p>
          <w:p>
            <w:pPr>
              <w:spacing w:line="360" w:lineRule="auto"/>
              <w:ind w:firstLine="420" w:firstLineChars="200"/>
              <w:rPr>
                <w:rFonts w:hint="eastAsia"/>
                <w:lang w:val="en-US" w:eastAsia="zh-CN"/>
              </w:rPr>
            </w:pPr>
            <w:r>
              <w:rPr>
                <w:rFonts w:hint="eastAsia"/>
                <w:lang w:val="en-US" w:eastAsia="zh-CN"/>
              </w:rPr>
              <w:t>2、主要审核的资质材料：</w:t>
            </w:r>
          </w:p>
          <w:p>
            <w:pPr>
              <w:spacing w:line="360" w:lineRule="auto"/>
              <w:ind w:firstLine="420" w:firstLineChars="200"/>
              <w:rPr>
                <w:rFonts w:hint="eastAsia"/>
                <w:lang w:val="en-US" w:eastAsia="zh-CN"/>
              </w:rPr>
            </w:pPr>
            <w:r>
              <w:rPr>
                <w:rFonts w:hint="eastAsia"/>
                <w:lang w:val="en-US" w:eastAsia="zh-CN"/>
              </w:rPr>
              <w:t>供应商营业执照副本；税务登记证；一般纳税人证书；组织机构代码；卫生许可证；企业执行标准；生产许可证。</w:t>
            </w:r>
          </w:p>
          <w:p>
            <w:pPr>
              <w:autoSpaceDE w:val="0"/>
              <w:autoSpaceDN w:val="0"/>
              <w:adjustRightInd w:val="0"/>
              <w:spacing w:line="360" w:lineRule="auto"/>
              <w:rPr>
                <w:rFonts w:ascii="华文中宋" w:hAnsi="华文中宋" w:eastAsia="华文中宋" w:cs="宋体"/>
                <w:color w:val="000000"/>
                <w:lang w:val="zh-CN"/>
              </w:rPr>
            </w:pPr>
            <w:r>
              <w:rPr>
                <w:rFonts w:hint="eastAsia" w:ascii="华文中宋" w:hAnsi="华文中宋" w:eastAsia="华文中宋" w:cs="宋体"/>
                <w:color w:val="000000"/>
                <w:lang w:val="zh-CN"/>
              </w:rPr>
              <w:t>综合部对外部供方的控制通过其提供的产品或服务对组织产品和服务符合要求可能造成的影响决定，</w:t>
            </w:r>
          </w:p>
          <w:p>
            <w:pPr>
              <w:autoSpaceDE w:val="0"/>
              <w:autoSpaceDN w:val="0"/>
              <w:adjustRightInd w:val="0"/>
              <w:spacing w:line="360" w:lineRule="auto"/>
              <w:ind w:left="420"/>
              <w:rPr>
                <w:rFonts w:ascii="华文中宋" w:hAnsi="华文中宋" w:eastAsia="华文中宋" w:cs="宋体"/>
                <w:color w:val="000000"/>
                <w:lang w:val="zh-CN"/>
              </w:rPr>
            </w:pPr>
            <w:r>
              <w:rPr>
                <w:rFonts w:ascii="华文中宋" w:hAnsi="华文中宋" w:eastAsia="华文中宋" w:cs="宋体"/>
                <w:color w:val="000000"/>
                <w:lang w:val="zh-CN"/>
              </w:rPr>
              <w:t>2</w:t>
            </w:r>
            <w:r>
              <w:rPr>
                <w:rFonts w:hint="eastAsia" w:ascii="华文中宋" w:hAnsi="华文中宋" w:eastAsia="华文中宋" w:cs="宋体"/>
                <w:color w:val="000000"/>
                <w:lang w:val="zh-CN"/>
              </w:rPr>
              <w:t>）控制程度：</w:t>
            </w:r>
            <w:r>
              <w:rPr>
                <w:rFonts w:ascii="华文中宋" w:hAnsi="华文中宋" w:eastAsia="华文中宋" w:cs="宋体"/>
                <w:color w:val="000000"/>
                <w:lang w:val="zh-CN"/>
              </w:rPr>
              <w:t xml:space="preserve"> </w:t>
            </w:r>
          </w:p>
          <w:p>
            <w:pPr>
              <w:autoSpaceDE w:val="0"/>
              <w:autoSpaceDN w:val="0"/>
              <w:adjustRightInd w:val="0"/>
              <w:spacing w:line="360" w:lineRule="auto"/>
              <w:ind w:firstLine="420" w:firstLineChars="200"/>
              <w:rPr>
                <w:rFonts w:hint="eastAsia" w:ascii="华文中宋" w:hAnsi="华文中宋" w:eastAsia="华文中宋" w:cs="宋体"/>
                <w:color w:val="000000"/>
                <w:lang w:val="zh-CN"/>
              </w:rPr>
            </w:pPr>
            <w:r>
              <w:rPr>
                <w:rFonts w:hint="eastAsia" w:ascii="华文中宋" w:hAnsi="华文中宋" w:eastAsia="华文中宋" w:cs="宋体"/>
                <w:color w:val="000000"/>
                <w:lang w:val="zh-CN"/>
              </w:rPr>
              <w:t>a）Ａ类供方的选择与控制</w:t>
            </w:r>
          </w:p>
          <w:p>
            <w:pPr>
              <w:autoSpaceDE w:val="0"/>
              <w:autoSpaceDN w:val="0"/>
              <w:adjustRightInd w:val="0"/>
              <w:spacing w:line="360" w:lineRule="auto"/>
              <w:ind w:left="473" w:leftChars="225" w:firstLine="420" w:firstLineChars="200"/>
              <w:rPr>
                <w:rFonts w:ascii="华文中宋" w:hAnsi="华文中宋" w:eastAsia="华文中宋" w:cs="宋体"/>
                <w:strike/>
                <w:color w:val="000000"/>
                <w:lang w:val="zh-CN"/>
              </w:rPr>
            </w:pPr>
            <w:r>
              <w:rPr>
                <w:rFonts w:hint="eastAsia" w:ascii="华文中宋" w:hAnsi="华文中宋" w:eastAsia="华文中宋" w:cs="宋体"/>
                <w:color w:val="000000"/>
                <w:lang w:val="zh-CN"/>
              </w:rPr>
              <w:t>A类产品直接决定了公司产品许可范围内预包装食品（含冷藏冷冻食品）的销售；鲜肉、鲜蛋、干鲜果品、蔬菜、粮油、水产品、调味品的销售出来是否满足顾客的要求，综合部对提供A类产品的供应商首先应验证其生产资质、生产能力，收集相关信息评价其公司绩效，并采取一定的措施（如：样品试用、对产品进行检测或测量、征询供方其他顾客的意见等）对其作出评价，经评价合格的供方列入合格供方名单。综合部每年度对A类供方进行一次评价，评价合格继续列入合格供方名单，若评价不合格，则取消其供方资格，重新选择新的供方。</w:t>
            </w:r>
          </w:p>
          <w:p>
            <w:pPr>
              <w:autoSpaceDE w:val="0"/>
              <w:autoSpaceDN w:val="0"/>
              <w:adjustRightInd w:val="0"/>
              <w:spacing w:line="360" w:lineRule="auto"/>
              <w:ind w:firstLine="420" w:firstLineChars="200"/>
              <w:rPr>
                <w:rFonts w:hint="eastAsia" w:ascii="华文中宋" w:hAnsi="华文中宋" w:eastAsia="华文中宋" w:cs="宋体"/>
                <w:color w:val="000000"/>
                <w:lang w:val="zh-CN"/>
              </w:rPr>
            </w:pPr>
            <w:r>
              <w:rPr>
                <w:rFonts w:ascii="华文中宋" w:hAnsi="华文中宋" w:eastAsia="华文中宋" w:cs="宋体"/>
                <w:color w:val="000000"/>
                <w:lang w:val="zh-CN"/>
              </w:rPr>
              <w:t>b) B</w:t>
            </w:r>
            <w:r>
              <w:rPr>
                <w:rFonts w:hint="eastAsia" w:ascii="华文中宋" w:hAnsi="华文中宋" w:eastAsia="华文中宋" w:cs="宋体"/>
                <w:color w:val="000000"/>
                <w:lang w:val="zh-CN"/>
              </w:rPr>
              <w:t>类供方选择与控制</w:t>
            </w:r>
          </w:p>
          <w:p>
            <w:pPr>
              <w:autoSpaceDE w:val="0"/>
              <w:autoSpaceDN w:val="0"/>
              <w:adjustRightInd w:val="0"/>
              <w:spacing w:line="360" w:lineRule="auto"/>
              <w:ind w:left="473" w:leftChars="225" w:firstLine="420" w:firstLineChars="200"/>
              <w:rPr>
                <w:rFonts w:hint="eastAsia" w:ascii="华文中宋" w:hAnsi="华文中宋" w:eastAsia="华文中宋" w:cs="宋体"/>
                <w:color w:val="000000"/>
                <w:lang w:val="zh-CN"/>
              </w:rPr>
            </w:pPr>
            <w:r>
              <w:rPr>
                <w:rFonts w:hint="eastAsia" w:ascii="华文中宋" w:hAnsi="华文中宋" w:eastAsia="华文中宋" w:cs="宋体"/>
                <w:color w:val="000000"/>
                <w:lang w:val="zh-CN"/>
              </w:rPr>
              <w:t>B类产品为公司许可范围内预包装食品（含冷藏冷冻食品）的销售；鲜肉、鲜蛋、干鲜果品、蔬菜、粮油、水产品、调味品的销售过程中的辅助材料，对产品最后符合要求没有重大的影响，综合部对B类供应商采取一般控制，当产品不满足使用要求后重新选择即可。</w:t>
            </w:r>
          </w:p>
          <w:p>
            <w:pPr>
              <w:spacing w:line="360" w:lineRule="auto"/>
              <w:ind w:firstLine="420" w:firstLineChars="200"/>
              <w:rPr>
                <w:rFonts w:hint="eastAsia"/>
                <w:lang w:val="en-US" w:eastAsia="zh-CN"/>
              </w:rPr>
            </w:pPr>
            <w:r>
              <w:rPr>
                <w:rFonts w:hint="eastAsia"/>
                <w:lang w:val="en-US" w:eastAsia="zh-CN"/>
              </w:rPr>
              <w:t>对供应商的评估审核：</w:t>
            </w:r>
          </w:p>
          <w:p>
            <w:pPr>
              <w:spacing w:line="360" w:lineRule="auto"/>
              <w:ind w:firstLine="420" w:firstLineChars="200"/>
              <w:rPr>
                <w:rFonts w:hint="eastAsia"/>
                <w:lang w:val="en-US" w:eastAsia="zh-CN"/>
              </w:rPr>
            </w:pPr>
            <w:r>
              <w:rPr>
                <w:rFonts w:hint="eastAsia"/>
                <w:lang w:val="en-US" w:eastAsia="zh-CN"/>
              </w:rPr>
              <w:t>1、采购人员在供应商自评的基础上，依据同行业标准或企业执行标准，通过照片、图片、其他资料，进行考评。</w:t>
            </w:r>
          </w:p>
          <w:p>
            <w:pPr>
              <w:spacing w:line="360" w:lineRule="auto"/>
              <w:ind w:firstLine="420" w:firstLineChars="200"/>
              <w:rPr>
                <w:rFonts w:hint="eastAsia"/>
                <w:lang w:val="en-US" w:eastAsia="zh-CN"/>
              </w:rPr>
            </w:pPr>
            <w:r>
              <w:rPr>
                <w:rFonts w:hint="eastAsia"/>
                <w:lang w:val="en-US" w:eastAsia="zh-CN"/>
              </w:rPr>
              <w:t>2、食品安全管理部门对上报材料进行复评，并有一定比例的抽检，对供应商进行实地考察。实地考察项目应具体明确。</w:t>
            </w:r>
          </w:p>
          <w:p>
            <w:pPr>
              <w:spacing w:line="360" w:lineRule="auto"/>
              <w:ind w:firstLine="420" w:firstLineChars="200"/>
              <w:rPr>
                <w:rFonts w:hint="eastAsia"/>
                <w:lang w:val="en-US" w:eastAsia="zh-CN"/>
              </w:rPr>
            </w:pPr>
            <w:r>
              <w:rPr>
                <w:rFonts w:hint="eastAsia"/>
                <w:lang w:val="en-US" w:eastAsia="zh-CN"/>
              </w:rPr>
              <w:t>3对高风险、技术含量低、非知名品牌及自有品牌供应商进行实地考察。生产企业应严格按照企业产品执行标准的要求组织生产，确保产品的理化、卫生、感官等质量指标符合国家法律、法规和强制性标准规定。</w:t>
            </w:r>
          </w:p>
          <w:p>
            <w:pPr>
              <w:pStyle w:val="9"/>
              <w:rPr>
                <w:rFonts w:hint="eastAsia" w:asciiTheme="minorEastAsia" w:hAnsiTheme="minorEastAsia" w:eastAsiaTheme="minorEastAsia" w:cstheme="minorEastAsia"/>
                <w:color w:val="auto"/>
                <w:sz w:val="21"/>
                <w:szCs w:val="21"/>
                <w:lang w:val="en-US" w:eastAsia="zh-CN"/>
              </w:rPr>
            </w:pPr>
          </w:p>
          <w:p>
            <w:pPr>
              <w:pStyle w:val="9"/>
              <w:ind w:firstLine="460" w:firstLineChars="20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经远程询查，</w:t>
            </w:r>
            <w:r>
              <w:rPr>
                <w:rFonts w:hint="eastAsia" w:asciiTheme="minorEastAsia" w:hAnsiTheme="minorEastAsia" w:eastAsiaTheme="minorEastAsia" w:cstheme="minorEastAsia"/>
                <w:color w:val="0000FF"/>
                <w:sz w:val="21"/>
                <w:szCs w:val="21"/>
                <w:lang w:val="en-US" w:eastAsia="zh-CN"/>
              </w:rPr>
              <w:t>公司外包是食品运输过程</w:t>
            </w:r>
            <w:r>
              <w:rPr>
                <w:rFonts w:hint="eastAsia" w:asciiTheme="minorEastAsia" w:hAnsiTheme="minorEastAsia" w:eastAsiaTheme="minorEastAsia" w:cstheme="minorEastAsia"/>
                <w:color w:val="auto"/>
                <w:sz w:val="21"/>
                <w:szCs w:val="21"/>
                <w:lang w:val="en-US" w:eastAsia="zh-CN"/>
              </w:rPr>
              <w:t>。（公司没有识别到）</w:t>
            </w:r>
          </w:p>
        </w:tc>
        <w:tc>
          <w:tcPr>
            <w:tcW w:w="829" w:type="dxa"/>
          </w:tcPr>
          <w:p>
            <w:pPr>
              <w:pStyle w:val="9"/>
              <w:rPr>
                <w:rFonts w:hint="eastAsia"/>
                <w:sz w:val="21"/>
                <w:szCs w:val="21"/>
                <w:lang w:val="en-US" w:eastAsia="zh-CN"/>
              </w:rPr>
            </w:pPr>
          </w:p>
          <w:p>
            <w:pPr>
              <w:pStyle w:val="9"/>
              <w:rPr>
                <w:rFonts w:hint="eastAsia"/>
                <w:sz w:val="21"/>
                <w:szCs w:val="21"/>
                <w:lang w:val="en-US" w:eastAsia="zh-CN"/>
              </w:rPr>
            </w:pPr>
            <w:r>
              <w:rPr>
                <w:rFonts w:hint="eastAsia"/>
                <w:sz w:val="21"/>
                <w:szCs w:val="21"/>
                <w:lang w:val="en-US" w:eastAsia="zh-CN"/>
              </w:rPr>
              <w:t xml:space="preserve"> </w:t>
            </w:r>
          </w:p>
          <w:p>
            <w:pPr>
              <w:pStyle w:val="9"/>
              <w:rPr>
                <w:rFonts w:hint="eastAsia"/>
                <w:sz w:val="21"/>
                <w:szCs w:val="21"/>
                <w:lang w:val="en-US" w:eastAsia="zh-CN"/>
              </w:rPr>
            </w:pPr>
          </w:p>
          <w:p>
            <w:pPr>
              <w:pStyle w:val="9"/>
              <w:rPr>
                <w:rFonts w:hint="eastAsia"/>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p>
          <w:p>
            <w:pPr>
              <w:pStyle w:val="9"/>
              <w:rPr>
                <w:rFonts w:hint="default"/>
                <w:sz w:val="21"/>
                <w:szCs w:val="21"/>
                <w:lang w:val="en-US" w:eastAsia="zh-CN"/>
              </w:rPr>
            </w:pPr>
            <w:r>
              <w:rPr>
                <w:rFonts w:hint="eastAsia"/>
                <w:color w:val="00B0F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88" w:type="dxa"/>
            <w:vAlign w:val="top"/>
          </w:tcPr>
          <w:p>
            <w:pPr>
              <w:keepNext w:val="0"/>
              <w:keepLines w:val="0"/>
              <w:widowControl/>
              <w:suppressLineNumbers w:val="0"/>
              <w:jc w:val="left"/>
              <w:rPr>
                <w:rFonts w:hint="default" w:eastAsia="宋体"/>
                <w:lang w:val="en-US" w:eastAsia="zh-CN"/>
              </w:rPr>
            </w:pPr>
            <w:r>
              <w:rPr>
                <w:rFonts w:hint="eastAsia"/>
                <w:lang w:val="en-US" w:eastAsia="zh-CN"/>
              </w:rPr>
              <w:t>环境因素/危险源的识别和控制</w:t>
            </w:r>
          </w:p>
        </w:tc>
        <w:tc>
          <w:tcPr>
            <w:tcW w:w="1032" w:type="dxa"/>
            <w:vAlign w:val="top"/>
          </w:tcPr>
          <w:p>
            <w:pPr>
              <w:pStyle w:val="9"/>
              <w:rPr>
                <w:rFonts w:hint="eastAsia"/>
                <w:sz w:val="21"/>
                <w:szCs w:val="21"/>
                <w:lang w:val="en-US" w:eastAsia="zh-CN"/>
              </w:rPr>
            </w:pPr>
            <w:r>
              <w:rPr>
                <w:rFonts w:hint="eastAsia"/>
                <w:sz w:val="21"/>
                <w:szCs w:val="21"/>
                <w:lang w:val="en-US" w:eastAsia="zh-CN"/>
              </w:rPr>
              <w:t xml:space="preserve">EO6.1.2 </w:t>
            </w:r>
          </w:p>
        </w:tc>
        <w:tc>
          <w:tcPr>
            <w:tcW w:w="10760" w:type="dxa"/>
            <w:vAlign w:val="top"/>
          </w:tcPr>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提供《环境因素评价表》，包括固废废弃、汽车尾气排放、意外火灾等。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可以提供《重要环境因素清单》，其中重要环境因素：潜在火灾、固废、噪声。</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评价基本合理并制定有控制措施。</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提供了职业健康安全危险源识别与评价表，涉及本部门的危险源包括：潜在火灾、新冠疫情。</w:t>
            </w:r>
          </w:p>
          <w:p>
            <w:pPr>
              <w:adjustRightIn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用LEC法对识别的危险源进行评价，本部门不可接受风险：潜在火灾、新冠疫情，</w:t>
            </w:r>
          </w:p>
          <w:p>
            <w:pPr>
              <w:spacing w:line="360" w:lineRule="auto"/>
              <w:ind w:firstLine="420" w:firstLineChars="200"/>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评价基本合理并制定有控制措施。</w:t>
            </w:r>
          </w:p>
        </w:tc>
        <w:tc>
          <w:tcPr>
            <w:tcW w:w="829" w:type="dxa"/>
          </w:tcPr>
          <w:p>
            <w:pPr>
              <w:pStyle w:val="9"/>
              <w:rPr>
                <w:rFonts w:hint="eastAsia"/>
                <w:sz w:val="21"/>
                <w:szCs w:val="21"/>
                <w:lang w:val="en-US" w:eastAsia="zh-CN"/>
              </w:rPr>
            </w:pPr>
          </w:p>
          <w:p>
            <w:pPr>
              <w:pStyle w:val="9"/>
              <w:rPr>
                <w:rFonts w:hint="eastAsia"/>
                <w:sz w:val="21"/>
                <w:szCs w:val="21"/>
                <w:lang w:val="en-US" w:eastAsia="zh-CN"/>
              </w:rPr>
            </w:pPr>
          </w:p>
          <w:p>
            <w:pPr>
              <w:pStyle w:val="9"/>
              <w:rPr>
                <w:rFonts w:hint="eastAsia"/>
                <w:sz w:val="21"/>
                <w:szCs w:val="21"/>
                <w:lang w:val="en-US" w:eastAsia="zh-CN"/>
              </w:rPr>
            </w:pPr>
          </w:p>
          <w:p>
            <w:pPr>
              <w:pStyle w:val="9"/>
              <w:rPr>
                <w:rFonts w:hint="default"/>
                <w:sz w:val="21"/>
                <w:szCs w:val="21"/>
                <w:lang w:val="en-US" w:eastAsia="zh-CN"/>
              </w:rPr>
            </w:pPr>
            <w:r>
              <w:rPr>
                <w:rFonts w:hint="eastAsia"/>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88" w:type="dxa"/>
            <w:vAlign w:val="top"/>
          </w:tcPr>
          <w:p>
            <w:pPr>
              <w:keepNext w:val="0"/>
              <w:keepLines w:val="0"/>
              <w:widowControl/>
              <w:suppressLineNumbers w:val="0"/>
              <w:jc w:val="left"/>
              <w:rPr>
                <w:rFonts w:hint="eastAsia"/>
                <w:color w:val="auto"/>
                <w:lang w:val="en-US" w:eastAsia="zh-CN"/>
              </w:rPr>
            </w:pPr>
          </w:p>
        </w:tc>
        <w:tc>
          <w:tcPr>
            <w:tcW w:w="1032" w:type="dxa"/>
            <w:vAlign w:val="top"/>
          </w:tcPr>
          <w:p>
            <w:pPr>
              <w:pStyle w:val="9"/>
              <w:rPr>
                <w:rFonts w:hint="eastAsia"/>
                <w:color w:val="auto"/>
                <w:sz w:val="21"/>
                <w:szCs w:val="21"/>
                <w:lang w:val="en-US" w:eastAsia="zh-CN"/>
              </w:rPr>
            </w:pPr>
            <w:r>
              <w:rPr>
                <w:rFonts w:hint="eastAsia"/>
                <w:color w:val="auto"/>
                <w:sz w:val="21"/>
                <w:szCs w:val="21"/>
                <w:lang w:val="en-US" w:eastAsia="zh-CN"/>
              </w:rPr>
              <w:t>EO6.1.3</w:t>
            </w:r>
          </w:p>
        </w:tc>
        <w:tc>
          <w:tcPr>
            <w:tcW w:w="10760" w:type="dxa"/>
            <w:vAlign w:val="top"/>
          </w:tcPr>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提供法律法规的收集、识别、适宜性确认和合规性评价。</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1. 建立了《法律法规与其他要求管理程序》，描述了目的、职责、适用范围、获取途径、更新和传递。文件基本符合要求。</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2. 公司通过网络、出版机构、书店、专业性报刊、咨询机构、认证机构等渠道收集、评价适用的相关法律法规和其他要求：</w:t>
            </w:r>
          </w:p>
          <w:p>
            <w:pPr>
              <w:spacing w:line="360" w:lineRule="auto"/>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3、提供了《法律法规、标准和其他要求清单》，共收集法律法规87个。其中涉及质量的5个、涉及环境的30个、涉及职业健康安全的31个，主要有：中华人民共和国环境保护法、环境噪声污染防治法、安全生产法、固体废物污染防治法、大气污染防治法、水污染防治法、职业病防治法、劳动法、消防法等。对适用的条款进行了适用性确认。</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imes New Roman" w:hAnsi="Times New Roman" w:cs="Times New Roman"/>
                <w:color w:val="0000FF"/>
                <w:szCs w:val="22"/>
                <w:lang w:val="en-US" w:eastAsia="zh-CN"/>
              </w:rPr>
              <w:t>没有识别“《食品经营许可管理办法》、《食用农产品市场销售质量安全监督管理办法》、《食品生产经营日常监督检查管理办法》、《网络餐饮服务食品安全监督管理办法》、《网络食品安全违法行为查处办法》</w:t>
            </w:r>
            <w:r>
              <w:rPr>
                <w:rFonts w:hint="default" w:ascii="Times New Roman" w:hAnsi="Times New Roman" w:cs="Times New Roman"/>
                <w:color w:val="0000FF"/>
                <w:szCs w:val="22"/>
                <w:lang w:val="en-US" w:eastAsia="zh-CN"/>
              </w:rPr>
              <w:t>,《餐饮服务食品安全操作规范》、</w:t>
            </w:r>
            <w:r>
              <w:rPr>
                <w:rFonts w:hint="eastAsia" w:ascii="Times New Roman" w:hAnsi="Times New Roman" w:cs="Times New Roman"/>
                <w:color w:val="0000FF"/>
                <w:szCs w:val="22"/>
                <w:lang w:val="en-US" w:eastAsia="zh-CN"/>
              </w:rPr>
              <w:t>中华人民共和国安全生产法、GB7718-2018预包装食品标签通则、流通领域食品安全管理办法、《国务院关于加强食品等产品安全监督管理的特别规定》（国务院令第503号）、食品标识管理规定、GB/T20940肉类制品企业良好操作规范、GB23346食品良好流通规范”等法律法规及其他要求。</w:t>
            </w:r>
          </w:p>
        </w:tc>
        <w:tc>
          <w:tcPr>
            <w:tcW w:w="829" w:type="dxa"/>
          </w:tcPr>
          <w:p>
            <w:pPr>
              <w:pStyle w:val="9"/>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88" w:type="dxa"/>
            <w:vAlign w:val="top"/>
          </w:tcPr>
          <w:p>
            <w:pPr>
              <w:keepNext w:val="0"/>
              <w:keepLines w:val="0"/>
              <w:widowControl/>
              <w:suppressLineNumbers w:val="0"/>
              <w:jc w:val="left"/>
              <w:rPr>
                <w:rFonts w:hint="eastAsia"/>
                <w:color w:val="auto"/>
                <w:lang w:val="en-US" w:eastAsia="zh-CN"/>
              </w:rPr>
            </w:pPr>
            <w:r>
              <w:rPr>
                <w:rFonts w:hint="eastAsia" w:ascii="华文中宋" w:hAnsi="华文中宋" w:eastAsia="华文中宋" w:cs="宋体"/>
                <w:color w:val="auto"/>
                <w:lang w:val="zh-CN"/>
              </w:rPr>
              <w:t>合规性评价</w:t>
            </w:r>
          </w:p>
        </w:tc>
        <w:tc>
          <w:tcPr>
            <w:tcW w:w="1032" w:type="dxa"/>
            <w:vAlign w:val="top"/>
          </w:tcPr>
          <w:p>
            <w:pPr>
              <w:pStyle w:val="9"/>
              <w:rPr>
                <w:rFonts w:hint="eastAsia"/>
                <w:color w:val="auto"/>
                <w:sz w:val="21"/>
                <w:szCs w:val="21"/>
                <w:lang w:val="en-US" w:eastAsia="zh-CN"/>
              </w:rPr>
            </w:pPr>
            <w:r>
              <w:rPr>
                <w:rFonts w:hint="eastAsia"/>
                <w:color w:val="auto"/>
                <w:sz w:val="21"/>
                <w:szCs w:val="21"/>
                <w:lang w:val="en-US" w:eastAsia="zh-CN"/>
              </w:rPr>
              <w:t xml:space="preserve">EO9.1.2  </w:t>
            </w:r>
          </w:p>
        </w:tc>
        <w:tc>
          <w:tcPr>
            <w:tcW w:w="10760" w:type="dxa"/>
            <w:vAlign w:val="top"/>
          </w:tcPr>
          <w:p>
            <w:pPr>
              <w:spacing w:line="360" w:lineRule="auto"/>
              <w:ind w:firstLine="480" w:firstLineChars="200"/>
              <w:rPr>
                <w:rFonts w:hint="eastAsia" w:ascii="楷体" w:hAnsi="楷体" w:eastAsia="楷体" w:cs="宋体"/>
                <w:color w:val="auto"/>
                <w:sz w:val="24"/>
                <w:szCs w:val="24"/>
                <w:lang w:val="en-US" w:eastAsia="zh-CN"/>
              </w:rPr>
            </w:pPr>
            <w:r>
              <w:rPr>
                <w:rFonts w:hint="eastAsia" w:ascii="楷体" w:hAnsi="楷体" w:eastAsia="楷体" w:cs="宋体"/>
                <w:color w:val="auto"/>
                <w:sz w:val="24"/>
                <w:szCs w:val="24"/>
                <w:lang w:val="en-US" w:eastAsia="zh-CN"/>
              </w:rPr>
              <w:t>提供《合规性评价记录》、《合规性评价报告》，对公司适用环境、职业健康安全的法律法规和其他要求进行了评价，符合要求。评价结果：我公司没有违法国家法律、法规及相关标准，严格遵守国家有关环境方面的规定，密切关注法律法规的变化，并适时调整，严格按体系标准执行。</w:t>
            </w:r>
          </w:p>
          <w:p>
            <w:pPr>
              <w:spacing w:line="360" w:lineRule="auto"/>
              <w:ind w:firstLine="480" w:firstLineChars="200"/>
              <w:rPr>
                <w:rFonts w:hint="eastAsia" w:ascii="楷体" w:hAnsi="楷体" w:eastAsia="楷体" w:cs="宋体"/>
                <w:color w:val="auto"/>
                <w:sz w:val="24"/>
                <w:szCs w:val="24"/>
                <w:lang w:val="en-US" w:eastAsia="zh-CN"/>
              </w:rPr>
            </w:pPr>
            <w:r>
              <w:rPr>
                <w:rFonts w:hint="eastAsia" w:ascii="楷体" w:hAnsi="楷体" w:eastAsia="楷体" w:cs="宋体"/>
                <w:color w:val="auto"/>
                <w:sz w:val="24"/>
                <w:szCs w:val="24"/>
                <w:lang w:val="en-US" w:eastAsia="zh-CN"/>
              </w:rPr>
              <w:t>合规性评价人：韩明波 武虎明 杨其兵 杨跃  日期：2020.4.10。</w:t>
            </w:r>
          </w:p>
        </w:tc>
        <w:tc>
          <w:tcPr>
            <w:tcW w:w="829" w:type="dxa"/>
          </w:tcPr>
          <w:p>
            <w:pPr>
              <w:pStyle w:val="9"/>
              <w:rPr>
                <w:rFonts w:hint="eastAsia"/>
                <w:sz w:val="21"/>
                <w:szCs w:val="21"/>
                <w:lang w:val="en-US" w:eastAsia="zh-CN"/>
              </w:rPr>
            </w:pPr>
          </w:p>
        </w:tc>
      </w:tr>
    </w:tbl>
    <w:p>
      <w:pPr>
        <w:pStyle w:val="5"/>
        <w:rPr>
          <w:rFonts w:hint="eastAsia"/>
          <w:sz w:val="21"/>
          <w:szCs w:val="21"/>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72CA2"/>
    <w:rsid w:val="043130EE"/>
    <w:rsid w:val="07E054B4"/>
    <w:rsid w:val="07EF63EC"/>
    <w:rsid w:val="09136E22"/>
    <w:rsid w:val="0C4A4BE1"/>
    <w:rsid w:val="0F535804"/>
    <w:rsid w:val="0F5F2CA2"/>
    <w:rsid w:val="12DB5940"/>
    <w:rsid w:val="132011BC"/>
    <w:rsid w:val="15A6299A"/>
    <w:rsid w:val="18EC7036"/>
    <w:rsid w:val="19517451"/>
    <w:rsid w:val="1AB56CF2"/>
    <w:rsid w:val="1C6E3BFF"/>
    <w:rsid w:val="2090758A"/>
    <w:rsid w:val="209718B6"/>
    <w:rsid w:val="22C248E2"/>
    <w:rsid w:val="27D47017"/>
    <w:rsid w:val="28E1001D"/>
    <w:rsid w:val="29287B01"/>
    <w:rsid w:val="29BC0075"/>
    <w:rsid w:val="2A726582"/>
    <w:rsid w:val="2A993974"/>
    <w:rsid w:val="2BCC6C74"/>
    <w:rsid w:val="2E177B63"/>
    <w:rsid w:val="2EA56094"/>
    <w:rsid w:val="30563DE0"/>
    <w:rsid w:val="316B456C"/>
    <w:rsid w:val="32473A4C"/>
    <w:rsid w:val="330B5A81"/>
    <w:rsid w:val="348B159A"/>
    <w:rsid w:val="34CD146B"/>
    <w:rsid w:val="35875204"/>
    <w:rsid w:val="36D01390"/>
    <w:rsid w:val="37F71D8F"/>
    <w:rsid w:val="3E0D73A2"/>
    <w:rsid w:val="3F2F7D42"/>
    <w:rsid w:val="43223ED7"/>
    <w:rsid w:val="46793D72"/>
    <w:rsid w:val="469054FE"/>
    <w:rsid w:val="49464C15"/>
    <w:rsid w:val="4C330D73"/>
    <w:rsid w:val="4F794BEB"/>
    <w:rsid w:val="50513254"/>
    <w:rsid w:val="52D85EA9"/>
    <w:rsid w:val="57C60632"/>
    <w:rsid w:val="5B266AA5"/>
    <w:rsid w:val="5BBF3897"/>
    <w:rsid w:val="5CB555B0"/>
    <w:rsid w:val="5F13006F"/>
    <w:rsid w:val="63F30702"/>
    <w:rsid w:val="64D0698C"/>
    <w:rsid w:val="65CD0AF5"/>
    <w:rsid w:val="67EF5E0C"/>
    <w:rsid w:val="68A573B7"/>
    <w:rsid w:val="6A446D2A"/>
    <w:rsid w:val="6A7B34F7"/>
    <w:rsid w:val="6ED9794E"/>
    <w:rsid w:val="7072391D"/>
    <w:rsid w:val="73AB34AD"/>
    <w:rsid w:val="750F2076"/>
    <w:rsid w:val="76C52D96"/>
    <w:rsid w:val="77B0498B"/>
    <w:rsid w:val="7A056DC0"/>
    <w:rsid w:val="7C503703"/>
    <w:rsid w:val="7FD547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adjustRightInd w:val="0"/>
      <w:spacing w:line="312" w:lineRule="atLeast"/>
      <w:ind w:firstLine="420" w:firstLineChars="200"/>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2020-09-08T04:13:55Z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