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0444-2020-QE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广东腾彩科技有限公司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bookmarkStart w:id="2" w:name="审核范围"/>
            <w:r>
              <w:rPr>
                <w:rFonts w:hint="eastAsia" w:ascii="宋体" w:hAnsi="宋体"/>
                <w:szCs w:val="21"/>
              </w:rPr>
              <w:t>Q：手腕带、不干胶标签、NFC电子标签、RFID电子标签的制作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E：手腕带、不干胶标签、NFC电子标签、RFID电子标签的制作及相关环境管理活动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变更后：</w:t>
            </w:r>
          </w:p>
          <w:p>
            <w:pPr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Q：手腕带、不干胶标签、NFC电子标签、RFID电子标签的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制造</w:t>
            </w:r>
          </w:p>
          <w:p>
            <w:pPr>
              <w:snapToGrid w:val="0"/>
              <w:spacing w:line="420" w:lineRule="auto"/>
              <w:rPr>
                <w:rFonts w:hint="default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E：手腕带、不干胶标签、NFC电子标签、RFID电子标签的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制造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及相关环境管理活动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李京田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 xml:space="preserve">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2861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2020-09-07T02:32:07Z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