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ind w:right="401" w:rightChars="191"/>
        <w:jc w:val="center"/>
        <w:rPr>
          <w:rFonts w:hint="eastAsia" w:ascii="宋体" w:hAnsi="宋体"/>
          <w:sz w:val="18"/>
        </w:rPr>
      </w:pPr>
      <w:r>
        <w:rPr>
          <w:rFonts w:hint="eastAsia"/>
          <w:lang w:val="en-US" w:eastAsia="zh-CN"/>
        </w:rPr>
        <w:t xml:space="preserve">                                                 </w:t>
      </w:r>
      <w:r>
        <w:rPr>
          <w:rFonts w:hint="eastAsia" w:ascii="宋体" w:hAnsi="宋体"/>
          <w:sz w:val="18"/>
        </w:rPr>
        <w:t xml:space="preserve">  编  号：</w:t>
      </w:r>
      <w:bookmarkStart w:id="0" w:name="合同编号"/>
      <w:r>
        <w:rPr>
          <w:szCs w:val="44"/>
        </w:rPr>
        <w:t>0407-2020-Q</w:t>
      </w:r>
      <w:bookmarkEnd w:id="0"/>
    </w:p>
    <w:p>
      <w:pPr>
        <w:wordWrap w:val="0"/>
        <w:bidi w:val="0"/>
        <w:ind w:right="401" w:rightChars="191"/>
        <w:jc w:val="center"/>
        <w:rPr>
          <w:rFonts w:hint="eastAsia" w:ascii="宋体" w:hAnsi="宋体"/>
          <w:sz w:val="18"/>
        </w:rPr>
      </w:pPr>
    </w:p>
    <w:p>
      <w:pPr>
        <w:ind w:right="401" w:rightChars="191"/>
        <w:jc w:val="center"/>
        <w:rPr>
          <w:rFonts w:hint="eastAsia" w:ascii="宋体" w:hAnsi="宋体"/>
          <w:b/>
          <w:sz w:val="30"/>
        </w:rPr>
      </w:pPr>
    </w:p>
    <w:p>
      <w:pPr>
        <w:snapToGrid w:val="0"/>
        <w:spacing w:after="93" w:afterLines="30"/>
        <w:jc w:val="center"/>
        <w:rPr>
          <w:rFonts w:ascii="楷体" w:hAnsi="楷体" w:eastAsia="楷体"/>
          <w:b/>
          <w:color w:val="000000" w:themeColor="text1"/>
          <w:sz w:val="84"/>
          <w:szCs w:val="84"/>
        </w:rPr>
      </w:pPr>
      <w:r>
        <w:rPr>
          <w:szCs w:val="21"/>
        </w:rPr>
        <w:drawing>
          <wp:anchor distT="0" distB="0" distL="114300" distR="114300" simplePos="0" relativeHeight="251666432"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5" cstate="print"/>
                    <a:stretch>
                      <a:fillRect/>
                    </a:stretch>
                  </pic:blipFill>
                  <pic:spPr>
                    <a:xfrm>
                      <a:off x="0" y="0"/>
                      <a:ext cx="1724025" cy="1490345"/>
                    </a:xfrm>
                    <a:prstGeom prst="rect">
                      <a:avLst/>
                    </a:prstGeom>
                    <a:noFill/>
                    <a:ln w="9525">
                      <a:noFill/>
                    </a:ln>
                  </pic:spPr>
                </pic:pic>
              </a:graphicData>
            </a:graphic>
          </wp:anchor>
        </w:drawing>
      </w: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2"/>
          <w:szCs w:val="32"/>
        </w:rPr>
      </w:pPr>
    </w:p>
    <w:p>
      <w:pPr>
        <w:snapToGrid w:val="0"/>
        <w:spacing w:after="93" w:afterLines="30"/>
        <w:ind w:firstLine="321" w:firstLineChars="100"/>
        <w:rPr>
          <w:rFonts w:hint="eastAsia" w:ascii="楷体" w:hAnsi="楷体" w:eastAsia="楷体"/>
          <w:b/>
          <w:color w:val="000000" w:themeColor="text1"/>
          <w:sz w:val="32"/>
          <w:szCs w:val="32"/>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海南筑通混凝土有限公司</w:t>
      </w:r>
      <w:bookmarkEnd w:id="1"/>
    </w:p>
    <w:p>
      <w:pPr>
        <w:snapToGrid w:val="0"/>
        <w:spacing w:after="93"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3"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质量管理体系（QMS）</w:t>
      </w:r>
    </w:p>
    <w:p>
      <w:pPr>
        <w:snapToGrid w:val="0"/>
        <w:spacing w:after="93"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环境管理体系（EMS）</w:t>
      </w:r>
    </w:p>
    <w:p>
      <w:pPr>
        <w:snapToGrid w:val="0"/>
        <w:spacing w:after="93"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职业健康安全管理体系（OHSMS）</w:t>
      </w:r>
    </w:p>
    <w:p>
      <w:pPr>
        <w:snapToGrid w:val="0"/>
        <w:spacing w:after="93" w:afterLines="30"/>
        <w:jc w:val="center"/>
        <w:rPr>
          <w:rFonts w:ascii="楷体" w:hAnsi="楷体" w:eastAsia="楷体"/>
          <w:b/>
          <w:color w:val="000000" w:themeColor="text1"/>
          <w:sz w:val="84"/>
          <w:szCs w:val="84"/>
        </w:rPr>
      </w:pPr>
    </w:p>
    <w:p>
      <w:pPr>
        <w:snapToGrid w:val="0"/>
        <w:spacing w:after="93"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13"/>
          <w:rFonts w:hint="eastAsia" w:ascii="楷体" w:hAnsi="楷体" w:eastAsia="楷体"/>
          <w:b/>
          <w:sz w:val="36"/>
          <w:szCs w:val="36"/>
        </w:rPr>
        <w:t>www.china-isc.org.cn</w:t>
      </w:r>
      <w:r>
        <w:rPr>
          <w:rStyle w:val="13"/>
          <w:rFonts w:hint="eastAsia" w:ascii="楷体" w:hAnsi="楷体" w:eastAsia="楷体"/>
          <w:b/>
          <w:sz w:val="36"/>
          <w:szCs w:val="36"/>
        </w:rPr>
        <w:fldChar w:fldCharType="end"/>
      </w: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jc w:val="left"/>
        <w:rPr>
          <w:rFonts w:ascii="楷体" w:hAnsi="楷体" w:eastAsia="楷体"/>
          <w:b/>
          <w:color w:val="000000" w:themeColor="text1"/>
          <w:sz w:val="36"/>
          <w:szCs w:val="36"/>
        </w:rPr>
      </w:pPr>
    </w:p>
    <w:p>
      <w:pPr>
        <w:pStyle w:val="14"/>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10"/>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1086"/>
        <w:gridCol w:w="1527"/>
        <w:gridCol w:w="865"/>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pStyle w:val="14"/>
              <w:ind w:left="-142" w:firstLine="0" w:firstLineChars="0"/>
              <w:rPr>
                <w:b/>
                <w:color w:val="000000" w:themeColor="text1"/>
                <w:sz w:val="20"/>
                <w:szCs w:val="20"/>
                <w:lang w:val="de-DE"/>
              </w:rPr>
            </w:pPr>
            <w:r>
              <w:rPr>
                <w:rFonts w:hint="eastAsia"/>
                <w:b/>
                <w:color w:val="000000" w:themeColor="text1"/>
                <w:sz w:val="20"/>
                <w:szCs w:val="20"/>
              </w:rPr>
              <w:t>北京市朝阳区北苑路168号楼16层1603号</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pPr>
              <w:rPr>
                <w:b/>
                <w:color w:val="000000" w:themeColor="text1"/>
                <w:sz w:val="20"/>
                <w:szCs w:val="20"/>
              </w:rPr>
            </w:pPr>
            <w:r>
              <w:rPr>
                <w:rFonts w:hint="eastAsia"/>
                <w:b/>
                <w:color w:val="000000" w:themeColor="text1"/>
                <w:sz w:val="20"/>
                <w:szCs w:val="20"/>
              </w:rPr>
              <w:t>010-51095332</w:t>
            </w:r>
          </w:p>
        </w:tc>
        <w:tc>
          <w:tcPr>
            <w:tcW w:w="1086"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rFonts w:hint="eastAsia"/>
                <w:b/>
                <w:color w:val="000000" w:themeColor="text1"/>
                <w:sz w:val="20"/>
                <w:szCs w:val="20"/>
              </w:rPr>
              <w:t>51095332</w:t>
            </w:r>
          </w:p>
        </w:tc>
        <w:tc>
          <w:tcPr>
            <w:tcW w:w="865" w:type="dxa"/>
            <w:vAlign w:val="center"/>
          </w:tcPr>
          <w:p>
            <w:pPr>
              <w:rPr>
                <w:b/>
                <w:color w:val="000000" w:themeColor="text1"/>
                <w:sz w:val="20"/>
                <w:szCs w:val="20"/>
              </w:rPr>
            </w:pPr>
            <w:r>
              <w:rPr>
                <w:rFonts w:hint="eastAsia"/>
                <w:b/>
                <w:color w:val="000000" w:themeColor="text1"/>
                <w:sz w:val="20"/>
                <w:szCs w:val="20"/>
              </w:rPr>
              <w:t>邮箱</w:t>
            </w: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jc w:val="center"/>
              <w:rPr>
                <w:b/>
                <w:color w:val="000000" w:themeColor="text1"/>
                <w:sz w:val="20"/>
                <w:szCs w:val="20"/>
              </w:rPr>
            </w:pPr>
            <w:r>
              <w:rPr>
                <w:rFonts w:hint="eastAsia"/>
                <w:b/>
                <w:color w:val="000000" w:themeColor="text1"/>
                <w:sz w:val="20"/>
                <w:szCs w:val="20"/>
              </w:rPr>
              <w:t>姓名</w:t>
            </w:r>
          </w:p>
        </w:tc>
        <w:tc>
          <w:tcPr>
            <w:tcW w:w="992" w:type="dxa"/>
            <w:vAlign w:val="center"/>
          </w:tcPr>
          <w:p>
            <w:pPr>
              <w:jc w:val="center"/>
              <w:rPr>
                <w:b/>
                <w:color w:val="000000" w:themeColor="text1"/>
                <w:sz w:val="20"/>
                <w:szCs w:val="20"/>
              </w:rPr>
            </w:pPr>
            <w:r>
              <w:rPr>
                <w:rFonts w:hint="eastAsia"/>
                <w:b/>
                <w:color w:val="000000" w:themeColor="text1"/>
                <w:sz w:val="20"/>
                <w:szCs w:val="20"/>
              </w:rPr>
              <w:t>性别</w:t>
            </w:r>
          </w:p>
        </w:tc>
        <w:tc>
          <w:tcPr>
            <w:tcW w:w="1216" w:type="dxa"/>
            <w:vAlign w:val="center"/>
          </w:tcPr>
          <w:p>
            <w:pPr>
              <w:jc w:val="center"/>
              <w:rPr>
                <w:b/>
                <w:color w:val="000000" w:themeColor="text1"/>
                <w:sz w:val="20"/>
                <w:szCs w:val="20"/>
              </w:rPr>
            </w:pPr>
            <w:r>
              <w:rPr>
                <w:rFonts w:hint="eastAsia"/>
                <w:b/>
                <w:color w:val="000000" w:themeColor="text1"/>
                <w:sz w:val="20"/>
                <w:szCs w:val="20"/>
              </w:rPr>
              <w:t>职务</w:t>
            </w:r>
          </w:p>
        </w:tc>
        <w:tc>
          <w:tcPr>
            <w:tcW w:w="3478" w:type="dxa"/>
            <w:gridSpan w:val="3"/>
            <w:vAlign w:val="center"/>
          </w:tcPr>
          <w:p>
            <w:pPr>
              <w:jc w:val="center"/>
              <w:rPr>
                <w:b/>
                <w:color w:val="000000" w:themeColor="text1"/>
                <w:sz w:val="20"/>
                <w:szCs w:val="20"/>
              </w:rPr>
            </w:pPr>
            <w:r>
              <w:rPr>
                <w:rFonts w:hint="eastAsia"/>
                <w:b/>
                <w:color w:val="000000" w:themeColor="text1"/>
                <w:sz w:val="20"/>
                <w:szCs w:val="20"/>
              </w:rPr>
              <w:t>审核员注册号</w:t>
            </w:r>
          </w:p>
        </w:tc>
        <w:tc>
          <w:tcPr>
            <w:tcW w:w="2333" w:type="dxa"/>
            <w:gridSpan w:val="2"/>
            <w:vAlign w:val="center"/>
          </w:tcPr>
          <w:p>
            <w:pPr>
              <w:jc w:val="center"/>
              <w:rPr>
                <w:b/>
                <w:color w:val="000000" w:themeColor="text1"/>
                <w:sz w:val="20"/>
                <w:szCs w:val="20"/>
              </w:rPr>
            </w:pPr>
            <w:r>
              <w:rPr>
                <w:rFonts w:hint="eastAsia"/>
                <w:b/>
                <w:color w:val="000000" w:themeColor="text1"/>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李京田</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张伟建</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专家</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16.02.03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b/>
                <w:color w:val="000000" w:themeColor="text1"/>
                <w:sz w:val="20"/>
                <w:szCs w:val="20"/>
              </w:rPr>
            </w:pPr>
          </w:p>
        </w:tc>
        <w:tc>
          <w:tcPr>
            <w:tcW w:w="992" w:type="dxa"/>
            <w:vAlign w:val="center"/>
          </w:tcPr>
          <w:p>
            <w:pPr>
              <w:spacing w:line="240" w:lineRule="exact"/>
              <w:jc w:val="center"/>
              <w:rPr>
                <w:b/>
                <w:color w:val="000000" w:themeColor="text1"/>
                <w:sz w:val="20"/>
                <w:szCs w:val="20"/>
              </w:rPr>
            </w:pPr>
          </w:p>
        </w:tc>
        <w:tc>
          <w:tcPr>
            <w:tcW w:w="1216" w:type="dxa"/>
            <w:vAlign w:val="center"/>
          </w:tcPr>
          <w:p>
            <w:pPr>
              <w:spacing w:line="240" w:lineRule="exact"/>
              <w:jc w:val="center"/>
              <w:rPr>
                <w:b/>
                <w:color w:val="000000" w:themeColor="text1"/>
                <w:sz w:val="20"/>
                <w:szCs w:val="20"/>
              </w:rPr>
            </w:pPr>
          </w:p>
        </w:tc>
        <w:tc>
          <w:tcPr>
            <w:tcW w:w="3478" w:type="dxa"/>
            <w:gridSpan w:val="3"/>
            <w:vAlign w:val="center"/>
          </w:tcPr>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4"/>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11"/>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rPr>
              <w:t>☑</w:t>
            </w:r>
            <w:r>
              <w:rPr>
                <w:rFonts w:ascii="宋体" w:cs="宋体" w:hAnsiTheme="minorHAnsi"/>
                <w:color w:val="000000" w:themeColor="text1"/>
                <w:kern w:val="0"/>
                <w:sz w:val="20"/>
                <w:szCs w:val="20"/>
              </w:rPr>
              <w:t>QMS/</w:t>
            </w:r>
            <w:r>
              <w:rPr>
                <w:rFonts w:hint="eastAsia" w:ascii="宋体" w:hAnsi="宋体"/>
              </w:rPr>
              <w:t>□</w:t>
            </w:r>
            <w:r>
              <w:rPr>
                <w:rFonts w:ascii="宋体" w:cs="宋体" w:hAnsiTheme="minorHAnsi"/>
                <w:color w:val="000000" w:themeColor="text1"/>
                <w:kern w:val="0"/>
                <w:sz w:val="20"/>
                <w:szCs w:val="20"/>
              </w:rPr>
              <w:t>EMS/</w:t>
            </w:r>
            <w:r>
              <w:rPr>
                <w:rFonts w:hint="eastAsia" w:ascii="宋体" w:hAnsi="宋体"/>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4"/>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pStyle w:val="14"/>
        <w:ind w:left="540" w:firstLine="0" w:firstLineChars="0"/>
        <w:jc w:val="left"/>
        <w:rPr>
          <w:rFonts w:hint="default" w:ascii="宋体" w:hAnsi="宋体"/>
          <w:b/>
          <w:color w:val="000000" w:themeColor="text1"/>
          <w:spacing w:val="-10"/>
          <w:sz w:val="20"/>
          <w:szCs w:val="20"/>
          <w:lang w:val="en-US" w:eastAsia="zh-CN"/>
        </w:rPr>
      </w:pPr>
      <w:r>
        <w:rPr>
          <w:rFonts w:hint="eastAsia" w:ascii="宋体" w:hAnsi="宋体"/>
        </w:rPr>
        <w:t>■</w:t>
      </w:r>
      <w:r>
        <w:rPr>
          <w:rFonts w:hint="eastAsia" w:ascii="宋体" w:hAnsi="宋体"/>
          <w:b/>
          <w:color w:val="000000" w:themeColor="text1"/>
          <w:spacing w:val="-10"/>
          <w:sz w:val="20"/>
          <w:szCs w:val="20"/>
        </w:rPr>
        <w:t xml:space="preserve"> GB/T 19001:2016 idt ISO 9001:2015标准   不适用条款:</w:t>
      </w:r>
      <w:r>
        <w:rPr>
          <w:rFonts w:hint="eastAsia" w:ascii="宋体" w:hAnsi="宋体"/>
          <w:b/>
          <w:color w:val="000000" w:themeColor="text1"/>
          <w:spacing w:val="-10"/>
          <w:sz w:val="20"/>
          <w:szCs w:val="20"/>
          <w:lang w:val="en-US" w:eastAsia="zh-CN"/>
        </w:rPr>
        <w:t>8.3条款</w:t>
      </w:r>
    </w:p>
    <w:p>
      <w:pPr>
        <w:pStyle w:val="14"/>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xml:space="preserve">□ GB/T 50430-2017标准   不适用条款: </w:t>
      </w:r>
    </w:p>
    <w:p>
      <w:pPr>
        <w:pStyle w:val="14"/>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24001-2016 idt ISO 14001:2015标准</w:t>
      </w:r>
    </w:p>
    <w:p>
      <w:pPr>
        <w:pStyle w:val="14"/>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28001-2011 idtOHSMS 18001:2007标准</w:t>
      </w:r>
    </w:p>
    <w:p>
      <w:pPr>
        <w:pStyle w:val="14"/>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ISO45001：2018标准</w:t>
      </w:r>
    </w:p>
    <w:p>
      <w:pPr>
        <w:pStyle w:val="14"/>
        <w:ind w:left="540" w:firstLine="0" w:firstLineChars="0"/>
        <w:jc w:val="left"/>
        <w:rPr>
          <w:rFonts w:ascii="宋体" w:hAnsi="宋体"/>
          <w:b/>
          <w:color w:val="000000" w:themeColor="text1"/>
          <w:spacing w:val="-10"/>
          <w:sz w:val="20"/>
          <w:szCs w:val="20"/>
        </w:rPr>
      </w:pPr>
      <w:r>
        <w:rPr>
          <w:rFonts w:hint="eastAsia" w:ascii="宋体" w:hAnsi="宋体"/>
        </w:rPr>
        <w:t>■</w:t>
      </w:r>
      <w:r>
        <w:rPr>
          <w:rFonts w:hint="eastAsia" w:ascii="宋体" w:hAnsi="宋体"/>
          <w:b/>
          <w:color w:val="000000" w:themeColor="text1"/>
          <w:spacing w:val="-10"/>
          <w:sz w:val="20"/>
          <w:szCs w:val="20"/>
        </w:rPr>
        <w:t xml:space="preserve"> 受审核方管理体系文件  </w:t>
      </w:r>
      <w:r>
        <w:rPr>
          <w:rFonts w:hint="eastAsia" w:ascii="宋体" w:hAnsi="宋体"/>
        </w:rPr>
        <w:t>■</w:t>
      </w:r>
      <w:r>
        <w:rPr>
          <w:rFonts w:hint="eastAsia" w:ascii="宋体" w:hAnsi="宋体"/>
          <w:b/>
          <w:color w:val="000000" w:themeColor="text1"/>
          <w:spacing w:val="-10"/>
          <w:sz w:val="20"/>
          <w:szCs w:val="20"/>
        </w:rPr>
        <w:t>适用的法律法规  □其他</w:t>
      </w:r>
    </w:p>
    <w:p>
      <w:pPr>
        <w:pStyle w:val="14"/>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海南筑通混凝土有限公司</w:t>
            </w:r>
          </w:p>
        </w:tc>
        <w:tc>
          <w:tcPr>
            <w:tcW w:w="1134" w:type="dxa"/>
            <w:gridSpan w:val="3"/>
            <w:vAlign w:val="top"/>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vAlign w:val="top"/>
          </w:tcPr>
          <w:p>
            <w:pPr>
              <w:spacing w:line="320" w:lineRule="exact"/>
              <w:jc w:val="center"/>
              <w:rPr>
                <w:rFonts w:hint="default" w:ascii="宋体" w:hAnsi="宋体" w:eastAsia="宋体"/>
                <w:b/>
                <w:color w:val="000000" w:themeColor="text1"/>
                <w:sz w:val="20"/>
                <w:szCs w:val="20"/>
                <w:lang w:val="en-US" w:eastAsia="zh-CN"/>
              </w:rPr>
            </w:pPr>
            <w:r>
              <w:rPr>
                <w:rFonts w:ascii="宋体" w:hAnsi="宋体"/>
                <w:b/>
                <w:color w:val="000000" w:themeColor="text1"/>
                <w:sz w:val="20"/>
                <w:szCs w:val="20"/>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海南省海口市南海大道北边16.5公里处</w:t>
            </w:r>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vAlign w:val="top"/>
          </w:tcPr>
          <w:p>
            <w:pPr>
              <w:spacing w:line="320" w:lineRule="exact"/>
              <w:rPr>
                <w:rFonts w:ascii="宋体" w:hAnsi="宋体"/>
                <w:b/>
                <w:color w:val="000000" w:themeColor="text1"/>
                <w:spacing w:val="-20"/>
                <w:sz w:val="20"/>
                <w:szCs w:val="20"/>
              </w:rPr>
            </w:pPr>
            <w:r>
              <w:rPr>
                <w:rFonts w:ascii="宋体" w:hAnsi="宋体"/>
                <w:b/>
                <w:color w:val="000000" w:themeColor="text1"/>
                <w:spacing w:val="-20"/>
                <w:sz w:val="20"/>
                <w:szCs w:val="20"/>
              </w:rPr>
              <w:t>570300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vAlign w:val="top"/>
          </w:tcPr>
          <w:p>
            <w:pPr>
              <w:spacing w:line="320" w:lineRule="exact"/>
              <w:rPr>
                <w:rFonts w:ascii="宋体" w:hAnsi="宋体"/>
                <w:b/>
                <w:color w:val="000000" w:themeColor="text1"/>
                <w:sz w:val="20"/>
                <w:szCs w:val="20"/>
              </w:rPr>
            </w:pPr>
            <w:r>
              <w:rPr>
                <w:rFonts w:ascii="宋体" w:hAnsi="宋体"/>
                <w:b/>
                <w:color w:val="000000" w:themeColor="text1"/>
                <w:sz w:val="20"/>
                <w:szCs w:val="20"/>
              </w:rPr>
              <w:t>海南省海口市南海大道北边16.5公里处</w:t>
            </w: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vAlign w:val="top"/>
          </w:tcPr>
          <w:p>
            <w:pPr>
              <w:spacing w:line="320" w:lineRule="exact"/>
              <w:rPr>
                <w:rFonts w:ascii="宋体" w:hAnsi="宋体"/>
                <w:b/>
                <w:color w:val="000000" w:themeColor="text1"/>
                <w:sz w:val="20"/>
                <w:szCs w:val="20"/>
              </w:rPr>
            </w:pPr>
            <w:r>
              <w:rPr>
                <w:rFonts w:ascii="宋体" w:hAnsi="宋体"/>
                <w:b/>
                <w:color w:val="000000" w:themeColor="text1"/>
                <w:sz w:val="20"/>
                <w:szCs w:val="20"/>
              </w:rPr>
              <w:t>570300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符雅</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0898-68715738</w:t>
            </w:r>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2" w:name="联系人传真"/>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刘明胜</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3" w:name="最高管理者"/>
            <w:bookmarkEnd w:id="3"/>
            <w:r>
              <w:rPr>
                <w:rFonts w:hint="eastAsia"/>
              </w:rPr>
              <w:t xml:space="preserve">陈昌银 </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符雅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tc>
        <w:tc>
          <w:tcPr>
            <w:tcW w:w="7957" w:type="dxa"/>
            <w:gridSpan w:val="14"/>
          </w:tcPr>
          <w:p>
            <w:pPr>
              <w:spacing w:line="320" w:lineRule="exact"/>
              <w:rPr>
                <w:rFonts w:ascii="宋体" w:hAnsi="宋体"/>
                <w:b/>
                <w:color w:val="000000" w:themeColor="text1"/>
                <w:sz w:val="20"/>
                <w:szCs w:val="20"/>
                <w:u w:val="single"/>
              </w:rPr>
            </w:pPr>
            <w:bookmarkStart w:id="4" w:name="审核范围"/>
            <w:r>
              <w:rPr>
                <w:rFonts w:ascii="宋体" w:hAnsi="宋体"/>
                <w:b/>
                <w:color w:val="000000" w:themeColor="text1"/>
                <w:sz w:val="20"/>
                <w:szCs w:val="20"/>
              </w:rPr>
              <w:t>预拌混凝土的生产和销售</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5" w:name="专业代码"/>
            <w:r>
              <w:rPr>
                <w:rFonts w:ascii="宋体" w:hAnsi="宋体"/>
                <w:b/>
                <w:color w:val="000000" w:themeColor="text1"/>
                <w:sz w:val="20"/>
                <w:szCs w:val="20"/>
              </w:rPr>
              <w:t>16.02.03</w:t>
            </w:r>
            <w:bookmarkEnd w:id="5"/>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6" w:name="体系运行时间"/>
            <w:r>
              <w:rPr>
                <w:rFonts w:ascii="宋体" w:hAnsi="宋体"/>
                <w:b/>
                <w:color w:val="000000" w:themeColor="text1"/>
                <w:sz w:val="20"/>
                <w:szCs w:val="20"/>
              </w:rPr>
              <w:t>2020-04-08 0:00:00</w:t>
            </w:r>
            <w:bookmarkEnd w:id="6"/>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11"/>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eastAsia="zh-CN"/>
              </w:rPr>
              <w:t>行政部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rPr>
              <w:t>生</w:t>
            </w:r>
            <w:r>
              <w:rPr>
                <w:rFonts w:hint="eastAsia" w:ascii="宋体" w:hAnsi="宋体"/>
                <w:b/>
                <w:color w:val="000000" w:themeColor="text1"/>
                <w:sz w:val="20"/>
                <w:szCs w:val="20"/>
                <w:lang w:eastAsia="zh-CN"/>
              </w:rPr>
              <w:t>产</w:t>
            </w:r>
            <w:r>
              <w:rPr>
                <w:rFonts w:hint="eastAsia" w:ascii="宋体" w:hAnsi="宋体"/>
                <w:b/>
                <w:color w:val="000000" w:themeColor="text1"/>
                <w:sz w:val="20"/>
                <w:szCs w:val="20"/>
              </w:rPr>
              <w:t>部</w:t>
            </w:r>
            <w:r>
              <w:rPr>
                <w:rFonts w:hint="eastAsia" w:ascii="宋体" w:hAnsi="宋体"/>
                <w:b/>
                <w:color w:val="000000" w:themeColor="text1"/>
                <w:sz w:val="20"/>
                <w:szCs w:val="20"/>
                <w:lang w:eastAsia="zh-CN"/>
              </w:rPr>
              <w:t>、</w:t>
            </w:r>
            <w:r>
              <w:rPr>
                <w:rFonts w:hint="eastAsia" w:ascii="宋体" w:hAnsi="宋体"/>
                <w:b/>
                <w:color w:val="000000" w:themeColor="text1"/>
                <w:sz w:val="20"/>
                <w:szCs w:val="20"/>
                <w:lang w:val="en-US" w:eastAsia="zh-CN"/>
              </w:rPr>
              <w:t>品质部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lang w:val="en-US" w:eastAsia="zh-CN"/>
              </w:rPr>
              <w:t>销售</w:t>
            </w:r>
            <w:r>
              <w:rPr>
                <w:rFonts w:hint="eastAsia" w:ascii="宋体" w:hAnsi="宋体"/>
                <w:b/>
                <w:color w:val="000000" w:themeColor="text1"/>
                <w:sz w:val="20"/>
                <w:szCs w:val="20"/>
                <w:lang w:eastAsia="zh-CN"/>
              </w:rPr>
              <w:t>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left"/>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11"/>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tbl>
      <w:tblPr>
        <w:tblStyle w:val="11"/>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9"/>
        <w:gridCol w:w="1093"/>
        <w:gridCol w:w="762"/>
        <w:gridCol w:w="5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9"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1093"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762" w:type="dxa"/>
          </w:tcPr>
          <w:p>
            <w:pPr>
              <w:rPr>
                <w:b/>
                <w:color w:val="000000" w:themeColor="text1"/>
                <w:sz w:val="20"/>
                <w:szCs w:val="20"/>
              </w:rPr>
            </w:pPr>
            <w:r>
              <w:rPr>
                <w:rFonts w:hint="eastAsia"/>
                <w:b/>
                <w:color w:val="000000" w:themeColor="text1"/>
                <w:sz w:val="20"/>
                <w:szCs w:val="20"/>
              </w:rPr>
              <w:t>规格</w:t>
            </w:r>
          </w:p>
        </w:tc>
        <w:tc>
          <w:tcPr>
            <w:tcW w:w="5991"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189" w:type="dxa"/>
          </w:tcPr>
          <w:p>
            <w:pPr>
              <w:spacing w:line="0" w:lineRule="atLeast"/>
              <w:jc w:val="left"/>
              <w:rPr>
                <w:b/>
                <w:color w:val="FF0000"/>
                <w:sz w:val="20"/>
                <w:szCs w:val="20"/>
              </w:rPr>
            </w:pPr>
            <w:r>
              <w:rPr>
                <w:rFonts w:ascii="宋体" w:hAnsi="宋体"/>
                <w:b/>
                <w:color w:val="000000" w:themeColor="text1"/>
                <w:sz w:val="20"/>
                <w:szCs w:val="20"/>
              </w:rPr>
              <w:t>预拌混凝土的生产和销售</w:t>
            </w:r>
          </w:p>
        </w:tc>
        <w:tc>
          <w:tcPr>
            <w:tcW w:w="1093" w:type="dxa"/>
          </w:tcPr>
          <w:p>
            <w:pPr>
              <w:rPr>
                <w:b/>
                <w:sz w:val="20"/>
                <w:szCs w:val="20"/>
              </w:rPr>
            </w:pPr>
          </w:p>
        </w:tc>
        <w:tc>
          <w:tcPr>
            <w:tcW w:w="762" w:type="dxa"/>
          </w:tcPr>
          <w:p>
            <w:pPr>
              <w:rPr>
                <w:b/>
                <w:color w:val="000000" w:themeColor="text1"/>
                <w:sz w:val="20"/>
                <w:szCs w:val="20"/>
              </w:rPr>
            </w:pPr>
          </w:p>
        </w:tc>
        <w:tc>
          <w:tcPr>
            <w:tcW w:w="5991" w:type="dxa"/>
          </w:tcPr>
          <w:p>
            <w:pPr>
              <w:spacing w:line="0" w:lineRule="atLeast"/>
              <w:jc w:val="left"/>
              <w:rPr>
                <w:rFonts w:hint="eastAsia" w:ascii="宋体" w:hAnsi="宋体" w:eastAsia="宋体"/>
                <w:b/>
                <w:color w:val="000000" w:themeColor="text1"/>
                <w:sz w:val="20"/>
                <w:szCs w:val="20"/>
              </w:rPr>
            </w:pPr>
            <w:r>
              <w:rPr>
                <w:rFonts w:hint="eastAsia" w:ascii="宋体" w:hAnsi="宋体" w:eastAsia="宋体"/>
                <w:b/>
                <w:color w:val="000000" w:themeColor="text1"/>
                <w:sz w:val="20"/>
                <w:szCs w:val="20"/>
              </w:rPr>
              <w:t>DBJ 08-227-1997</w:t>
            </w:r>
            <w:r>
              <w:rPr>
                <w:rFonts w:hint="eastAsia" w:ascii="宋体" w:hAnsi="宋体" w:eastAsia="宋体"/>
                <w:b/>
                <w:color w:val="000000" w:themeColor="text1"/>
                <w:sz w:val="20"/>
                <w:szCs w:val="20"/>
              </w:rPr>
              <w:tab/>
            </w:r>
            <w:r>
              <w:rPr>
                <w:rFonts w:hint="eastAsia" w:ascii="宋体" w:hAnsi="宋体" w:eastAsia="宋体"/>
                <w:b/>
                <w:color w:val="000000" w:themeColor="text1"/>
                <w:sz w:val="20"/>
                <w:szCs w:val="20"/>
              </w:rPr>
              <w:t xml:space="preserve"> 预拌混凝土生产技术规程</w:t>
            </w:r>
            <w:r>
              <w:rPr>
                <w:rFonts w:hint="eastAsia" w:ascii="宋体" w:hAnsi="宋体" w:eastAsia="宋体"/>
                <w:b/>
                <w:color w:val="000000" w:themeColor="text1"/>
                <w:sz w:val="20"/>
                <w:szCs w:val="20"/>
              </w:rPr>
              <w:tab/>
            </w:r>
            <w:r>
              <w:rPr>
                <w:rFonts w:hint="eastAsia" w:ascii="宋体" w:hAnsi="宋体" w:eastAsia="宋体"/>
                <w:b/>
                <w:color w:val="000000" w:themeColor="text1"/>
                <w:sz w:val="20"/>
                <w:szCs w:val="20"/>
              </w:rPr>
              <w:t xml:space="preserve"> DBJ 46-018-2019</w:t>
            </w:r>
            <w:r>
              <w:rPr>
                <w:rFonts w:hint="eastAsia" w:ascii="宋体" w:hAnsi="宋体" w:eastAsia="宋体"/>
                <w:b/>
                <w:color w:val="000000" w:themeColor="text1"/>
                <w:sz w:val="20"/>
                <w:szCs w:val="20"/>
              </w:rPr>
              <w:tab/>
            </w:r>
            <w:r>
              <w:rPr>
                <w:rFonts w:hint="eastAsia" w:ascii="宋体" w:hAnsi="宋体" w:eastAsia="宋体"/>
                <w:b/>
                <w:color w:val="000000" w:themeColor="text1"/>
                <w:sz w:val="20"/>
                <w:szCs w:val="20"/>
              </w:rPr>
              <w:t xml:space="preserve"> 海南省预拌混凝土应用技术标准</w:t>
            </w:r>
            <w:r>
              <w:rPr>
                <w:rFonts w:hint="eastAsia" w:ascii="宋体" w:hAnsi="宋体" w:eastAsia="宋体"/>
                <w:b/>
                <w:color w:val="000000" w:themeColor="text1"/>
                <w:sz w:val="20"/>
                <w:szCs w:val="20"/>
              </w:rPr>
              <w:tab/>
            </w:r>
            <w:r>
              <w:rPr>
                <w:rFonts w:hint="eastAsia" w:ascii="宋体" w:hAnsi="宋体" w:eastAsia="宋体"/>
                <w:b/>
                <w:color w:val="000000" w:themeColor="text1"/>
                <w:sz w:val="20"/>
                <w:szCs w:val="20"/>
              </w:rPr>
              <w:t xml:space="preserve"> DG/TJ 08-2034-2008</w:t>
            </w:r>
            <w:r>
              <w:rPr>
                <w:rFonts w:hint="eastAsia" w:ascii="宋体" w:hAnsi="宋体" w:eastAsia="宋体"/>
                <w:b/>
                <w:color w:val="000000" w:themeColor="text1"/>
                <w:sz w:val="20"/>
                <w:szCs w:val="20"/>
              </w:rPr>
              <w:tab/>
            </w:r>
            <w:r>
              <w:rPr>
                <w:rFonts w:hint="eastAsia" w:ascii="宋体" w:hAnsi="宋体" w:eastAsia="宋体"/>
                <w:b/>
                <w:color w:val="000000" w:themeColor="text1"/>
                <w:sz w:val="20"/>
                <w:szCs w:val="20"/>
              </w:rPr>
              <w:t xml:space="preserve"> 预拌混凝土和预制混凝土构件生产质量管理规程</w:t>
            </w:r>
            <w:r>
              <w:rPr>
                <w:rFonts w:hint="eastAsia" w:ascii="宋体" w:hAnsi="宋体" w:eastAsia="宋体"/>
                <w:b/>
                <w:color w:val="000000" w:themeColor="text1"/>
                <w:sz w:val="20"/>
                <w:szCs w:val="20"/>
              </w:rPr>
              <w:tab/>
            </w:r>
            <w:r>
              <w:rPr>
                <w:rFonts w:hint="eastAsia" w:ascii="宋体" w:hAnsi="宋体" w:eastAsia="宋体"/>
                <w:b/>
                <w:color w:val="000000" w:themeColor="text1"/>
                <w:sz w:val="20"/>
                <w:szCs w:val="20"/>
              </w:rPr>
              <w:t xml:space="preserve"> GB/T 14902-2012</w:t>
            </w:r>
            <w:r>
              <w:rPr>
                <w:rFonts w:hint="eastAsia" w:ascii="宋体" w:hAnsi="宋体" w:eastAsia="宋体"/>
                <w:b/>
                <w:color w:val="000000" w:themeColor="text1"/>
                <w:sz w:val="20"/>
                <w:szCs w:val="20"/>
              </w:rPr>
              <w:tab/>
            </w:r>
            <w:r>
              <w:rPr>
                <w:rFonts w:hint="eastAsia" w:ascii="宋体" w:hAnsi="宋体" w:eastAsia="宋体"/>
                <w:b/>
                <w:color w:val="000000" w:themeColor="text1"/>
                <w:sz w:val="20"/>
                <w:szCs w:val="20"/>
              </w:rPr>
              <w:t xml:space="preserve"> 预拌混凝土</w:t>
            </w:r>
          </w:p>
          <w:p>
            <w:pPr>
              <w:rPr>
                <w:rFonts w:hint="eastAsia"/>
              </w:rPr>
            </w:pPr>
            <w:r>
              <w:rPr>
                <w:rFonts w:hint="eastAsia"/>
              </w:rPr>
              <w:t xml:space="preserve"> GB 36888-2018</w:t>
            </w:r>
            <w:r>
              <w:rPr>
                <w:rFonts w:hint="eastAsia"/>
              </w:rPr>
              <w:tab/>
            </w:r>
            <w:r>
              <w:rPr>
                <w:rFonts w:hint="eastAsia"/>
              </w:rPr>
              <w:t xml:space="preserve"> 预拌混凝土单位产品能源消耗限额</w:t>
            </w:r>
            <w:r>
              <w:rPr>
                <w:rFonts w:hint="eastAsia"/>
              </w:rPr>
              <w:tab/>
            </w:r>
            <w:r>
              <w:rPr>
                <w:rFonts w:hint="eastAsia"/>
              </w:rPr>
              <w:t xml:space="preserve"> HJ/T 412-2007</w:t>
            </w:r>
            <w:r>
              <w:rPr>
                <w:rFonts w:hint="eastAsia"/>
              </w:rPr>
              <w:tab/>
            </w:r>
            <w:r>
              <w:rPr>
                <w:rFonts w:hint="eastAsia"/>
              </w:rPr>
              <w:t xml:space="preserve"> 环境标志产品技术要求 预拌混凝土</w:t>
            </w:r>
            <w:r>
              <w:rPr>
                <w:rFonts w:hint="eastAsia"/>
              </w:rPr>
              <w:tab/>
            </w:r>
            <w:r>
              <w:rPr>
                <w:rFonts w:hint="eastAsia"/>
              </w:rPr>
              <w:t xml:space="preserve"> JC/T 2533-2019</w:t>
            </w:r>
            <w:r>
              <w:rPr>
                <w:rFonts w:hint="eastAsia"/>
              </w:rPr>
              <w:tab/>
            </w:r>
            <w:r>
              <w:rPr>
                <w:rFonts w:hint="eastAsia"/>
              </w:rPr>
              <w:t xml:space="preserve"> 预拌混凝土企业安全生产规范</w:t>
            </w:r>
            <w:r>
              <w:rPr>
                <w:rFonts w:hint="eastAsia"/>
              </w:rPr>
              <w:tab/>
            </w:r>
            <w:r>
              <w:rPr>
                <w:rFonts w:hint="eastAsia"/>
              </w:rPr>
              <w:t xml:space="preserve"> JC/T 60002-2019</w:t>
            </w:r>
            <w:r>
              <w:rPr>
                <w:rFonts w:hint="eastAsia"/>
              </w:rPr>
              <w:tab/>
            </w:r>
            <w:r>
              <w:rPr>
                <w:rFonts w:hint="eastAsia"/>
              </w:rPr>
              <w:t xml:space="preserve"> 预拌混凝土搅拌站单方成本计算方法及评价指标</w:t>
            </w:r>
            <w:r>
              <w:rPr>
                <w:rFonts w:hint="eastAsia"/>
              </w:rPr>
              <w:tab/>
            </w:r>
            <w:r>
              <w:rPr>
                <w:rFonts w:hint="eastAsia"/>
              </w:rPr>
              <w:t xml:space="preserve"> JGJ/T 328-2014</w:t>
            </w:r>
            <w:r>
              <w:rPr>
                <w:rFonts w:hint="eastAsia"/>
              </w:rPr>
              <w:tab/>
            </w:r>
            <w:r>
              <w:rPr>
                <w:rFonts w:hint="eastAsia"/>
              </w:rPr>
              <w:t xml:space="preserve"> 预拌混凝土绿色生产及管理技术规程</w:t>
            </w:r>
          </w:p>
          <w:p>
            <w:pPr>
              <w:rPr>
                <w:rFonts w:hint="eastAsia"/>
              </w:rPr>
            </w:pPr>
            <w:r>
              <w:rPr>
                <w:rFonts w:hint="eastAsia"/>
              </w:rPr>
              <w:t xml:space="preserve"> SB/T 11213-2017</w:t>
            </w:r>
            <w:r>
              <w:rPr>
                <w:rFonts w:hint="eastAsia"/>
              </w:rPr>
              <w:tab/>
            </w:r>
            <w:r>
              <w:rPr>
                <w:rFonts w:hint="eastAsia"/>
              </w:rPr>
              <w:t xml:space="preserve"> 预拌混凝土物流管理规范</w:t>
            </w:r>
            <w:r>
              <w:rPr>
                <w:rFonts w:hint="eastAsia"/>
              </w:rPr>
              <w:tab/>
            </w:r>
            <w:r>
              <w:rPr>
                <w:rFonts w:hint="eastAsia"/>
              </w:rPr>
              <w:t xml:space="preserve"> T/CECS 10047-2019</w:t>
            </w:r>
            <w:r>
              <w:rPr>
                <w:rFonts w:hint="eastAsia"/>
              </w:rPr>
              <w:tab/>
            </w:r>
            <w:r>
              <w:rPr>
                <w:rFonts w:hint="eastAsia"/>
              </w:rPr>
              <w:t xml:space="preserve"> 绿色建材评价 预拌混凝土</w:t>
            </w:r>
            <w:r>
              <w:rPr>
                <w:rFonts w:hint="eastAsia"/>
              </w:rPr>
              <w:tab/>
            </w:r>
          </w:p>
          <w:p>
            <w:pPr>
              <w:pStyle w:val="4"/>
              <w:keepNext w:val="0"/>
              <w:keepLines w:val="0"/>
              <w:widowControl/>
              <w:suppressLineNumbers w:val="0"/>
              <w:shd w:val="clear" w:color="auto" w:fill="FFFFFF"/>
              <w:ind w:left="0" w:firstLine="0"/>
              <w:rPr>
                <w:b/>
                <w:color w:val="000000" w:themeColor="text1"/>
                <w:sz w:val="20"/>
                <w:szCs w:val="20"/>
              </w:rPr>
            </w:pPr>
          </w:p>
        </w:tc>
      </w:tr>
    </w:tbl>
    <w:p>
      <w:pPr>
        <w:ind w:left="-137" w:leftChars="-337" w:hanging="571" w:hangingChars="271"/>
        <w:rPr>
          <w:b/>
          <w:color w:val="000000" w:themeColor="text1"/>
          <w:szCs w:val="21"/>
          <w:u w:val="single"/>
        </w:rPr>
      </w:pPr>
    </w:p>
    <w:p>
      <w:pPr>
        <w:spacing w:line="360" w:lineRule="auto"/>
        <w:ind w:left="-137" w:leftChars="-337" w:hanging="571" w:hangingChars="271"/>
        <w:rPr>
          <w:rFonts w:hint="eastAsia"/>
          <w:b/>
          <w:color w:val="000000" w:themeColor="text1"/>
          <w:szCs w:val="21"/>
        </w:rPr>
      </w:pPr>
    </w:p>
    <w:p>
      <w:pPr>
        <w:spacing w:line="360" w:lineRule="auto"/>
        <w:ind w:left="-137" w:leftChars="-337" w:hanging="571" w:hangingChars="271"/>
        <w:rPr>
          <w:b/>
          <w:color w:val="000000" w:themeColor="text1"/>
          <w:szCs w:val="21"/>
        </w:rPr>
      </w:pPr>
      <w:r>
        <w:rPr>
          <w:rFonts w:hint="eastAsia"/>
          <w:b/>
          <w:color w:val="000000" w:themeColor="text1"/>
          <w:szCs w:val="21"/>
        </w:rPr>
        <w:t>5.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 体系运行时间</w:t>
      </w:r>
      <w:r>
        <w:rPr>
          <w:rFonts w:hint="eastAsia"/>
          <w:b/>
          <w:color w:val="000000" w:themeColor="text1"/>
          <w:spacing w:val="-10"/>
          <w:szCs w:val="21"/>
          <w:u w:val="single"/>
        </w:rPr>
        <w:t xml:space="preserve"> 201</w:t>
      </w:r>
      <w:r>
        <w:rPr>
          <w:rFonts w:hint="eastAsia"/>
          <w:b/>
          <w:color w:val="000000" w:themeColor="text1"/>
          <w:spacing w:val="-10"/>
          <w:szCs w:val="21"/>
          <w:u w:val="single"/>
          <w:lang w:val="en-US" w:eastAsia="zh-CN"/>
        </w:rPr>
        <w:t>9</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4</w:t>
      </w:r>
      <w:r>
        <w:rPr>
          <w:rFonts w:hint="eastAsia"/>
          <w:b/>
          <w:color w:val="000000" w:themeColor="text1"/>
          <w:spacing w:val="-10"/>
          <w:szCs w:val="21"/>
        </w:rPr>
        <w:t>月</w:t>
      </w:r>
      <w:bookmarkStart w:id="7" w:name="OLE_LINK1"/>
      <w:r>
        <w:rPr>
          <w:rFonts w:hint="eastAsia"/>
          <w:b/>
          <w:color w:val="000000" w:themeColor="text1"/>
          <w:spacing w:val="-10"/>
          <w:szCs w:val="21"/>
          <w:lang w:val="en-US" w:eastAsia="zh-CN"/>
        </w:rPr>
        <w:t>8</w:t>
      </w:r>
      <w:r>
        <w:rPr>
          <w:rFonts w:hint="eastAsia"/>
          <w:b/>
          <w:color w:val="000000" w:themeColor="text1"/>
          <w:spacing w:val="-10"/>
          <w:szCs w:val="21"/>
        </w:rPr>
        <w:t>日</w:t>
      </w:r>
      <w:bookmarkEnd w:id="7"/>
      <w:r>
        <w:rPr>
          <w:rFonts w:hint="eastAsia"/>
          <w:b/>
          <w:color w:val="000000" w:themeColor="text1"/>
          <w:spacing w:val="-10"/>
          <w:szCs w:val="21"/>
        </w:rPr>
        <w:t>至</w:t>
      </w:r>
      <w:r>
        <w:rPr>
          <w:rFonts w:hint="eastAsia"/>
          <w:b/>
          <w:color w:val="000000" w:themeColor="text1"/>
          <w:spacing w:val="-10"/>
          <w:szCs w:val="21"/>
          <w:u w:val="single"/>
        </w:rPr>
        <w:t xml:space="preserve">  20</w:t>
      </w:r>
      <w:r>
        <w:rPr>
          <w:rFonts w:hint="eastAsia"/>
          <w:b/>
          <w:color w:val="000000" w:themeColor="text1"/>
          <w:spacing w:val="-10"/>
          <w:szCs w:val="21"/>
          <w:u w:val="single"/>
          <w:lang w:val="en-US" w:eastAsia="zh-CN"/>
        </w:rPr>
        <w:t>20</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8</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30</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 xml:space="preserve">日至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rFonts w:hint="eastAsia" w:ascii="宋体" w:hAnsi="宋体"/>
          <w:b/>
          <w:color w:val="000000" w:themeColor="text1"/>
          <w:szCs w:val="21"/>
          <w:lang w:eastAsia="zh-CN"/>
        </w:rPr>
      </w:pPr>
      <w:r>
        <w:rPr>
          <w:rFonts w:hint="eastAsia"/>
          <w:b/>
          <w:color w:val="000000" w:themeColor="text1"/>
          <w:spacing w:val="-10"/>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line="360" w:lineRule="auto"/>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10"/>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pStyle w:val="2"/>
              <w:rPr>
                <w:rFonts w:hint="eastAsia" w:ascii="宋体" w:hAnsi="宋体" w:eastAsia="宋体" w:cs="宋体"/>
                <w:bCs/>
                <w:color w:val="auto"/>
                <w:spacing w:val="10"/>
                <w:kern w:val="0"/>
                <w:sz w:val="21"/>
                <w:szCs w:val="21"/>
                <w:lang w:val="en-US" w:eastAsia="zh-CN" w:bidi="ar-SA"/>
              </w:rPr>
            </w:pPr>
            <w:r>
              <w:rPr>
                <w:rFonts w:hint="eastAsia"/>
              </w:rPr>
              <w:t>策划基本体现了P</w:t>
            </w:r>
            <w:r>
              <w:rPr>
                <w:rFonts w:hint="eastAsia"/>
                <w:lang w:val="en-US" w:eastAsia="zh-CN"/>
              </w:rPr>
              <w:t>DC</w:t>
            </w:r>
            <w:r>
              <w:rPr>
                <w:rFonts w:hint="eastAsia"/>
              </w:rPr>
              <w:t>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Pr>
                <w:rFonts w:hint="eastAsia"/>
                <w:lang w:val="en-GB"/>
              </w:rPr>
              <w:t>通过制定管理制度、作业文件及相关措施，对活动的主要环节实施了有效的控制。</w:t>
            </w:r>
            <w:r>
              <w:rPr>
                <w:rFonts w:hint="eastAsia"/>
              </w:rPr>
              <w:t>各种制度及规定基本建立。管理手册中对组织机构和职责进行</w:t>
            </w:r>
            <w:r>
              <w:rPr>
                <w:rFonts w:hint="eastAsia"/>
                <w:color w:val="auto"/>
              </w:rPr>
              <w:t>了策划，形成了文件。组织机构的设置，职责、权限的分配基本明确，基本适宜，人力资源基本满足需求。</w:t>
            </w:r>
            <w:r>
              <w:rPr>
                <w:rFonts w:hint="eastAsia"/>
                <w:color w:val="auto"/>
                <w:lang w:eastAsia="zh-CN"/>
              </w:rPr>
              <w:t>策划管理体系时，公司</w:t>
            </w:r>
            <w:r>
              <w:rPr>
                <w:rFonts w:hint="eastAsia"/>
                <w:color w:val="auto"/>
              </w:rPr>
              <w:t>确定</w:t>
            </w:r>
            <w:r>
              <w:rPr>
                <w:rFonts w:hint="eastAsia"/>
                <w:color w:val="auto"/>
                <w:lang w:eastAsia="zh-CN"/>
              </w:rPr>
              <w:t>了</w:t>
            </w:r>
            <w:r>
              <w:rPr>
                <w:rFonts w:hint="eastAsia"/>
                <w:color w:val="auto"/>
              </w:rPr>
              <w:t>与其宗旨和战略方向相关并影响其实现质量管理体系预期结果的能力的各种外部和内部因素。</w:t>
            </w:r>
            <w:r>
              <w:rPr>
                <w:rFonts w:hint="eastAsia"/>
                <w:color w:val="auto"/>
                <w:lang w:eastAsia="zh-CN"/>
              </w:rPr>
              <w:t>同时，</w:t>
            </w:r>
            <w:r>
              <w:rPr>
                <w:rFonts w:hint="eastAsia"/>
                <w:color w:val="auto"/>
              </w:rPr>
              <w:t>确定</w:t>
            </w:r>
            <w:r>
              <w:rPr>
                <w:rFonts w:hint="eastAsia"/>
                <w:color w:val="auto"/>
                <w:lang w:eastAsia="zh-CN"/>
              </w:rPr>
              <w:t>了</w:t>
            </w:r>
            <w:r>
              <w:rPr>
                <w:rFonts w:hint="eastAsia"/>
                <w:color w:val="auto"/>
              </w:rPr>
              <w:t>与质量管理体系有关的相关方</w:t>
            </w:r>
            <w:r>
              <w:rPr>
                <w:rFonts w:hint="eastAsia"/>
                <w:color w:val="auto"/>
                <w:lang w:eastAsia="zh-CN"/>
              </w:rPr>
              <w:t>及相关要求。并根据所确定的各种因素及相关方和其要求，确定了公司应对的风险和机遇，并对应对措施进行了策划</w:t>
            </w:r>
          </w:p>
          <w:p>
            <w:pPr>
              <w:pStyle w:val="2"/>
              <w:rPr>
                <w:rFonts w:hint="default" w:ascii="宋体" w:hAnsi="宋体" w:eastAsia="宋体" w:cs="宋体"/>
                <w:bCs/>
                <w:color w:val="auto"/>
                <w:spacing w:val="10"/>
                <w:kern w:val="0"/>
                <w:sz w:val="21"/>
                <w:szCs w:val="21"/>
                <w:lang w:val="en-US" w:eastAsia="zh-CN" w:bidi="ar-SA"/>
              </w:rPr>
            </w:pPr>
            <w:r>
              <w:rPr>
                <w:rFonts w:hint="eastAsia" w:ascii="宋体" w:hAnsi="宋体" w:eastAsia="宋体" w:cs="宋体"/>
                <w:bCs/>
                <w:color w:val="auto"/>
                <w:spacing w:val="10"/>
                <w:kern w:val="0"/>
                <w:sz w:val="21"/>
                <w:szCs w:val="21"/>
                <w:lang w:val="en-US" w:eastAsia="zh-CN" w:bidi="ar-SA"/>
              </w:rPr>
              <w:t>认证范围：</w:t>
            </w:r>
          </w:p>
          <w:p>
            <w:pPr>
              <w:rPr>
                <w:sz w:val="20"/>
              </w:rPr>
            </w:pPr>
            <w:r>
              <w:rPr>
                <w:sz w:val="20"/>
              </w:rPr>
              <w:t>预拌混凝土的生产和销售</w:t>
            </w:r>
          </w:p>
          <w:p>
            <w:pPr>
              <w:rPr>
                <w:rFonts w:hint="default"/>
                <w:lang w:val="en-US" w:eastAsia="zh-CN"/>
              </w:rPr>
            </w:pPr>
            <w:r>
              <w:rPr>
                <w:rFonts w:hint="eastAsia" w:ascii="宋体" w:hAnsi="宋体" w:eastAsia="宋体" w:cs="宋体"/>
                <w:color w:val="auto"/>
                <w:kern w:val="0"/>
                <w:sz w:val="21"/>
                <w:szCs w:val="21"/>
                <w:lang w:val="en-US" w:eastAsia="zh-CN"/>
              </w:rPr>
              <w:t>经确认，认证范围在营业执照</w:t>
            </w:r>
            <w:r>
              <w:rPr>
                <w:rFonts w:hint="eastAsia" w:ascii="宋体" w:hAnsi="宋体" w:eastAsia="宋体" w:cs="宋体"/>
                <w:color w:val="auto"/>
                <w:kern w:val="0"/>
                <w:sz w:val="21"/>
                <w:szCs w:val="21"/>
                <w:lang w:val="zh-CN" w:eastAsia="zh-CN"/>
              </w:rPr>
              <w:t>经营范围</w:t>
            </w:r>
            <w:r>
              <w:rPr>
                <w:rFonts w:hint="eastAsia" w:ascii="宋体" w:hAnsi="宋体" w:eastAsia="宋体" w:cs="宋体"/>
                <w:color w:val="auto"/>
                <w:kern w:val="0"/>
                <w:sz w:val="21"/>
                <w:szCs w:val="21"/>
                <w:lang w:val="en-US" w:eastAsia="zh-CN"/>
              </w:rPr>
              <w:t>内。</w:t>
            </w:r>
            <w:r>
              <w:rPr>
                <w:rFonts w:hint="eastAsia" w:ascii="宋体" w:hAnsi="宋体" w:cs="宋体"/>
                <w:color w:val="auto"/>
                <w:kern w:val="0"/>
                <w:sz w:val="21"/>
                <w:szCs w:val="21"/>
                <w:lang w:val="en-US" w:eastAsia="zh-CN"/>
              </w:rPr>
              <w:t>不适用条款 8.3，</w:t>
            </w:r>
            <w:r>
              <w:rPr>
                <w:rFonts w:hint="eastAsia" w:ascii="宋体" w:hAnsi="宋体"/>
                <w:sz w:val="21"/>
                <w:szCs w:val="21"/>
                <w:lang w:eastAsia="zh-CN"/>
              </w:rPr>
              <w:t>不适用理由：公司</w:t>
            </w:r>
            <w:r>
              <w:rPr>
                <w:rFonts w:hint="eastAsia" w:ascii="宋体" w:hAnsi="宋体"/>
                <w:szCs w:val="21"/>
              </w:rPr>
              <w:t xml:space="preserve">预拌混凝土的生产和销售 </w:t>
            </w:r>
            <w:r>
              <w:rPr>
                <w:rFonts w:hint="eastAsia" w:ascii="宋体" w:hAnsi="宋体"/>
                <w:sz w:val="21"/>
                <w:szCs w:val="21"/>
                <w:lang w:eastAsia="zh-CN"/>
              </w:rPr>
              <w:t>按国家相关标准进行生产，自体系建立以来配方未有更改过，配方成熟，工艺及设备固定。整个生产过程不涉及设计新产品的内容。</w:t>
            </w:r>
            <w:r>
              <w:rPr>
                <w:rFonts w:hint="eastAsia" w:ascii="宋体" w:hAnsi="宋体"/>
                <w:sz w:val="21"/>
                <w:szCs w:val="21"/>
                <w:lang w:val="en-US" w:eastAsia="zh-CN"/>
              </w:rPr>
              <w:t>8.3条款的不适用不影响提供满足客户对产品质量的要求及符合法律法规的要求。</w:t>
            </w:r>
            <w:r>
              <w:rPr>
                <w:rFonts w:hint="eastAsia" w:ascii="宋体" w:hAnsi="宋体"/>
                <w:sz w:val="21"/>
                <w:szCs w:val="21"/>
                <w:lang w:eastAsia="zh-CN"/>
              </w:rPr>
              <w:t xml:space="preserve">  </w:t>
            </w:r>
          </w:p>
          <w:p>
            <w:pPr>
              <w:jc w:val="both"/>
              <w:rPr>
                <w:rFonts w:hint="eastAsia" w:ascii="宋体"/>
                <w:szCs w:val="21"/>
              </w:rPr>
            </w:pPr>
            <w:r>
              <w:rPr>
                <w:rFonts w:hint="eastAsia" w:asciiTheme="minorEastAsia" w:hAnsiTheme="minorEastAsia" w:eastAsiaTheme="minorEastAsia" w:cstheme="minorEastAsia"/>
                <w:b w:val="0"/>
                <w:bCs w:val="0"/>
                <w:color w:val="auto"/>
                <w:sz w:val="21"/>
                <w:szCs w:val="21"/>
              </w:rPr>
              <w:t>查国家企业信用信息公示系统，企业无异常经营记录、无违法失信记录。</w:t>
            </w:r>
          </w:p>
          <w:p>
            <w:pPr>
              <w:pStyle w:val="2"/>
              <w:rPr>
                <w:rFonts w:hint="eastAsia" w:asciiTheme="minorEastAsia" w:hAnsiTheme="minorEastAsia" w:eastAsiaTheme="minorEastAsia" w:cstheme="minorEastAsia"/>
                <w:b w:val="0"/>
                <w:bCs w:val="0"/>
                <w:color w:val="FF0000"/>
                <w:sz w:val="21"/>
                <w:szCs w:val="21"/>
              </w:rPr>
            </w:pPr>
            <w:r>
              <w:rPr>
                <w:rFonts w:hint="eastAsia" w:asciiTheme="minorEastAsia" w:hAnsiTheme="minorEastAsia" w:eastAsiaTheme="minorEastAsia" w:cstheme="minorEastAsia"/>
                <w:b w:val="0"/>
                <w:bCs w:val="0"/>
                <w:sz w:val="21"/>
                <w:szCs w:val="21"/>
              </w:rPr>
              <w:t>对于企业的外包过程也进行了充分识别，公司</w:t>
            </w:r>
            <w:r>
              <w:rPr>
                <w:rFonts w:hint="eastAsia" w:asciiTheme="minorEastAsia" w:hAnsiTheme="minorEastAsia" w:eastAsiaTheme="minorEastAsia" w:cstheme="minorEastAsia"/>
                <w:b w:val="0"/>
                <w:bCs w:val="0"/>
                <w:sz w:val="21"/>
                <w:szCs w:val="21"/>
                <w:lang w:eastAsia="zh-CN"/>
              </w:rPr>
              <w:t>无</w:t>
            </w:r>
            <w:r>
              <w:rPr>
                <w:rFonts w:hint="eastAsia" w:asciiTheme="minorEastAsia" w:hAnsiTheme="minorEastAsia" w:eastAsiaTheme="minorEastAsia" w:cstheme="minorEastAsia"/>
                <w:b w:val="0"/>
                <w:bCs w:val="0"/>
                <w:sz w:val="21"/>
                <w:szCs w:val="21"/>
              </w:rPr>
              <w:t>外包</w:t>
            </w:r>
            <w:r>
              <w:rPr>
                <w:rFonts w:hint="eastAsia" w:asciiTheme="minorEastAsia" w:hAnsiTheme="minorEastAsia" w:eastAsiaTheme="minorEastAsia" w:cstheme="minorEastAsia"/>
                <w:b w:val="0"/>
                <w:bCs w:val="0"/>
                <w:sz w:val="21"/>
                <w:szCs w:val="21"/>
                <w:lang w:eastAsia="zh-CN"/>
              </w:rPr>
              <w:t>过程</w:t>
            </w:r>
          </w:p>
          <w:p>
            <w:pPr>
              <w:ind w:firstLine="420" w:firstLineChars="200"/>
              <w:jc w:val="both"/>
              <w:rPr>
                <w:rFonts w:hint="default"/>
                <w:lang w:val="en-US" w:eastAsia="zh-CN"/>
              </w:rPr>
            </w:pPr>
            <w:r>
              <w:rPr>
                <w:rFonts w:hint="eastAsia" w:asciiTheme="minorEastAsia" w:hAnsiTheme="minorEastAsia" w:eastAsiaTheme="minorEastAsia" w:cstheme="minorEastAsia"/>
                <w:b w:val="0"/>
                <w:bCs w:val="0"/>
                <w:sz w:val="21"/>
                <w:szCs w:val="21"/>
              </w:rPr>
              <w:t>投诉或事故</w:t>
            </w:r>
            <w:r>
              <w:rPr>
                <w:rFonts w:hint="eastAsia" w:asciiTheme="minorEastAsia" w:hAnsiTheme="minorEastAsia" w:eastAsiaTheme="minorEastAsia" w:cstheme="minorEastAsia"/>
                <w:b w:val="0"/>
                <w:bCs w:val="0"/>
                <w:sz w:val="21"/>
                <w:szCs w:val="21"/>
                <w:lang w:val="en-US" w:eastAsia="zh-CN"/>
              </w:rPr>
              <w:t xml:space="preserve">:无      </w:t>
            </w:r>
            <w:r>
              <w:rPr>
                <w:rFonts w:hint="eastAsia" w:asciiTheme="minorEastAsia" w:hAnsiTheme="minorEastAsia" w:eastAsiaTheme="minorEastAsia" w:cstheme="minorEastAsia"/>
                <w:b w:val="0"/>
                <w:bCs w:val="0"/>
                <w:sz w:val="21"/>
                <w:szCs w:val="21"/>
              </w:rPr>
              <w:t>政府主管部门监督抽查情况</w:t>
            </w:r>
            <w:r>
              <w:rPr>
                <w:rFonts w:hint="eastAsia" w:asciiTheme="minorEastAsia" w:hAnsiTheme="minorEastAsia" w:eastAsiaTheme="minorEastAsia" w:cstheme="minorEastAsia"/>
                <w:b w:val="0"/>
                <w:bCs w:val="0"/>
                <w:sz w:val="21"/>
                <w:szCs w:val="21"/>
                <w:lang w:val="en-US" w:eastAsia="zh-CN"/>
              </w:rPr>
              <w:t>:无</w:t>
            </w:r>
          </w:p>
          <w:p>
            <w:pPr>
              <w:spacing w:line="240" w:lineRule="exact"/>
              <w:rPr>
                <w:b/>
                <w:color w:val="000000" w:themeColor="text1"/>
                <w:sz w:val="20"/>
                <w:szCs w:val="20"/>
              </w:rPr>
            </w:pPr>
            <w:r>
              <w:rPr>
                <w:rFonts w:hint="eastAsia" w:asciiTheme="minorEastAsia" w:hAnsiTheme="minorEastAsia" w:eastAsiaTheme="minorEastAsia" w:cstheme="minorEastAsia"/>
                <w:b w:val="0"/>
                <w:bCs w:val="0"/>
                <w:color w:val="auto"/>
                <w:sz w:val="21"/>
                <w:szCs w:val="21"/>
                <w:lang w:eastAsia="zh-CN"/>
              </w:rPr>
              <w:t>查企业基本信息没变化，</w:t>
            </w:r>
            <w:r>
              <w:rPr>
                <w:rFonts w:hint="eastAsia" w:asciiTheme="minorEastAsia" w:hAnsiTheme="minorEastAsia" w:eastAsiaTheme="minorEastAsia" w:cstheme="minorEastAsia"/>
                <w:b w:val="0"/>
                <w:bCs w:val="0"/>
                <w:color w:val="auto"/>
                <w:sz w:val="21"/>
                <w:szCs w:val="21"/>
                <w:lang w:val="en-US" w:eastAsia="zh-CN"/>
              </w:rPr>
              <w:t>审核范围无变化。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w:t>
            </w:r>
            <w:r>
              <w:rPr>
                <w:rFonts w:hint="eastAsia" w:ascii="宋体" w:hAnsi="宋体" w:cs="宋体"/>
                <w:color w:val="000000"/>
                <w:szCs w:val="21"/>
                <w:lang w:eastAsia="zh-CN"/>
              </w:rPr>
              <w:t>会议</w:t>
            </w:r>
            <w:r>
              <w:rPr>
                <w:rFonts w:hint="eastAsia" w:ascii="宋体" w:hAnsi="宋体" w:cs="宋体"/>
                <w:color w:val="000000"/>
                <w:szCs w:val="21"/>
              </w:rPr>
              <w:t>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rPr>
                <w:rFonts w:hint="eastAsia"/>
              </w:rPr>
            </w:pPr>
            <w:r>
              <w:rPr>
                <w:b/>
                <w:color w:val="000000" w:themeColor="text1"/>
                <w:sz w:val="20"/>
                <w:szCs w:val="20"/>
              </w:rPr>
              <w:t>3.</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rPr>
              <w:t>规范管理，追求品质卓越，持续改进，保证客户满意</w:t>
            </w:r>
          </w:p>
          <w:p>
            <w:pPr>
              <w:spacing w:line="360" w:lineRule="auto"/>
              <w:ind w:firstLine="422" w:firstLineChars="200"/>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widowControl/>
              <w:spacing w:line="400" w:lineRule="exact"/>
              <w:rPr>
                <w:rFonts w:hint="eastAsia" w:ascii="宋体" w:hAnsi="宋体"/>
                <w:sz w:val="21"/>
                <w:szCs w:val="21"/>
                <w:lang w:eastAsia="zh-CN"/>
              </w:rPr>
            </w:pPr>
            <w:r>
              <w:rPr>
                <w:rFonts w:hint="eastAsia" w:ascii="宋体" w:hAnsi="宋体"/>
                <w:sz w:val="21"/>
                <w:szCs w:val="21"/>
                <w:lang w:eastAsia="zh-CN"/>
              </w:rPr>
              <w:t>5.QMS过程</w:t>
            </w:r>
          </w:p>
          <w:p>
            <w:pPr>
              <w:rPr>
                <w:rFonts w:hint="eastAsia" w:ascii="宋体" w:hAnsi="宋体"/>
                <w:sz w:val="21"/>
                <w:szCs w:val="21"/>
                <w:lang w:eastAsia="zh-CN"/>
              </w:rPr>
            </w:pPr>
            <w:r>
              <w:rPr>
                <w:rFonts w:hint="eastAsia" w:ascii="宋体" w:hAnsi="宋体"/>
                <w:sz w:val="21"/>
                <w:szCs w:val="21"/>
                <w:lang w:eastAsia="zh-CN"/>
              </w:rPr>
              <w:t>质量管理体系过程有：</w:t>
            </w:r>
          </w:p>
          <w:p>
            <w:pP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生产流程：</w:t>
            </w:r>
            <w:r>
              <w:rPr>
                <w:rFonts w:hint="eastAsia" w:ascii="宋体" w:hAnsi="宋体"/>
                <w:szCs w:val="21"/>
              </w:rPr>
              <w:t>配料—</w:t>
            </w:r>
            <w:r>
              <w:rPr>
                <w:rFonts w:hint="eastAsia" w:ascii="宋体" w:hAnsi="宋体"/>
                <w:szCs w:val="21"/>
                <w:lang w:eastAsia="zh-CN"/>
              </w:rPr>
              <w:t>混合搅拌</w:t>
            </w:r>
            <w:r>
              <w:rPr>
                <w:rFonts w:hint="eastAsia" w:ascii="宋体" w:hAnsi="宋体"/>
                <w:szCs w:val="21"/>
              </w:rPr>
              <w:t>——抽样检验</w:t>
            </w:r>
            <w:r>
              <w:rPr>
                <w:rFonts w:hint="eastAsia" w:ascii="宋体" w:hAnsi="宋体"/>
                <w:szCs w:val="21"/>
                <w:lang w:eastAsia="zh-CN"/>
              </w:rPr>
              <w:t>（产品部分性能检测）</w:t>
            </w:r>
            <w:r>
              <w:rPr>
                <w:rFonts w:hint="eastAsia" w:ascii="宋体" w:hAnsi="宋体"/>
                <w:szCs w:val="21"/>
              </w:rPr>
              <w:t>—成品入库</w:t>
            </w:r>
          </w:p>
          <w:p>
            <w:pPr>
              <w:rPr>
                <w:rFonts w:hint="eastAsia" w:ascii="宋体" w:hAnsi="宋体"/>
                <w:sz w:val="21"/>
                <w:szCs w:val="21"/>
                <w:lang w:eastAsia="zh-CN"/>
              </w:rPr>
            </w:pPr>
            <w:r>
              <w:rPr>
                <w:rFonts w:hint="eastAsia" w:asciiTheme="minorEastAsia" w:hAnsiTheme="minorEastAsia" w:cstheme="minorEastAsia"/>
                <w:szCs w:val="21"/>
                <w:lang w:val="en-US" w:eastAsia="zh-CN"/>
              </w:rPr>
              <w:t>销售流程：</w:t>
            </w:r>
            <w:r>
              <w:rPr>
                <w:rFonts w:hint="eastAsia" w:asciiTheme="minorEastAsia" w:hAnsiTheme="minorEastAsia" w:eastAsiaTheme="minorEastAsia" w:cstheme="minorEastAsia"/>
                <w:szCs w:val="21"/>
              </w:rPr>
              <w:t>确定顾客要求--商务谈判--签订合同--采购产品--产品交付--售后服务</w:t>
            </w:r>
          </w:p>
          <w:p>
            <w:pPr>
              <w:widowControl/>
              <w:spacing w:line="400" w:lineRule="exact"/>
              <w:rPr>
                <w:rFonts w:hint="eastAsia" w:ascii="宋体" w:hAnsi="宋体"/>
                <w:sz w:val="21"/>
                <w:szCs w:val="21"/>
                <w:lang w:val="en-US" w:eastAsia="zh-CN"/>
              </w:rPr>
            </w:pPr>
            <w:r>
              <w:rPr>
                <w:rFonts w:hint="eastAsia" w:ascii="宋体" w:hAnsi="宋体"/>
                <w:sz w:val="21"/>
                <w:szCs w:val="21"/>
                <w:lang w:val="en-US" w:eastAsia="zh-CN"/>
              </w:rPr>
              <w:t>配料为关键过程。</w:t>
            </w:r>
          </w:p>
          <w:p>
            <w:pPr>
              <w:widowControl/>
              <w:spacing w:line="400" w:lineRule="exact"/>
              <w:rPr>
                <w:rFonts w:hint="default" w:ascii="宋体" w:hAnsi="宋体"/>
                <w:sz w:val="21"/>
                <w:szCs w:val="21"/>
                <w:lang w:val="en-US" w:eastAsia="zh-CN"/>
              </w:rPr>
            </w:pPr>
            <w:r>
              <w:rPr>
                <w:rFonts w:hint="eastAsia" w:ascii="宋体" w:hAnsi="宋体"/>
                <w:sz w:val="21"/>
                <w:szCs w:val="21"/>
                <w:lang w:val="en-US" w:eastAsia="zh-CN"/>
              </w:rPr>
              <w:t>需确认/特殊过程：配料过程、销售过程</w:t>
            </w:r>
          </w:p>
          <w:p>
            <w:pPr>
              <w:widowControl/>
              <w:spacing w:line="400" w:lineRule="exact"/>
              <w:rPr>
                <w:rFonts w:hint="eastAsia" w:ascii="宋体" w:hAnsi="宋体"/>
                <w:sz w:val="21"/>
                <w:szCs w:val="21"/>
                <w:lang w:val="en-US" w:eastAsia="zh-CN"/>
              </w:rPr>
            </w:pPr>
            <w:r>
              <w:rPr>
                <w:rFonts w:hint="eastAsia" w:ascii="宋体" w:hAnsi="宋体"/>
                <w:sz w:val="21"/>
                <w:szCs w:val="21"/>
                <w:lang w:val="en-US" w:eastAsia="zh-CN"/>
              </w:rPr>
              <w:t>外包过程：无</w:t>
            </w:r>
          </w:p>
          <w:p>
            <w:pPr>
              <w:widowControl/>
              <w:spacing w:line="400" w:lineRule="exact"/>
              <w:rPr>
                <w:rFonts w:hint="eastAsia" w:ascii="宋体" w:hAnsi="宋体"/>
                <w:sz w:val="21"/>
                <w:szCs w:val="21"/>
                <w:lang w:eastAsia="zh-CN"/>
              </w:rPr>
            </w:pPr>
            <w:r>
              <w:rPr>
                <w:rFonts w:hint="eastAsia" w:ascii="宋体" w:hAnsi="宋体"/>
                <w:sz w:val="21"/>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ascii="宋体" w:hAnsi="宋体"/>
                <w:b/>
                <w:color w:val="000000" w:themeColor="text1"/>
                <w:spacing w:val="-8"/>
                <w:sz w:val="20"/>
                <w:szCs w:val="20"/>
              </w:rPr>
            </w:pPr>
            <w:r>
              <w:rPr>
                <w:rFonts w:hint="eastAsia" w:ascii="宋体" w:hAnsi="宋体"/>
                <w:b/>
                <w:color w:val="000000" w:themeColor="text1"/>
                <w:spacing w:val="-8"/>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tabs>
                <w:tab w:val="left" w:pos="540"/>
              </w:tabs>
              <w:spacing w:line="300" w:lineRule="exact"/>
              <w:ind w:left="211" w:hanging="211" w:hangingChars="100"/>
              <w:rPr>
                <w:rFonts w:ascii="宋体" w:hAnsi="宋体"/>
                <w:b/>
                <w:color w:val="000000" w:themeColor="text1"/>
                <w:szCs w:val="21"/>
              </w:rPr>
            </w:pPr>
          </w:p>
          <w:p>
            <w:pPr>
              <w:pStyle w:val="14"/>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w:t>
            </w:r>
            <w:r>
              <w:rPr>
                <w:rFonts w:hint="eastAsia" w:ascii="宋体" w:hAnsi="宋体"/>
                <w:b/>
                <w:color w:val="000000" w:themeColor="text1"/>
                <w:szCs w:val="21"/>
                <w:lang w:val="en-US" w:eastAsia="zh-CN"/>
              </w:rPr>
              <w:t>80</w:t>
            </w:r>
            <w:r>
              <w:rPr>
                <w:rFonts w:hint="eastAsia" w:ascii="宋体" w:hAnsi="宋体"/>
                <w:b/>
                <w:color w:val="000000" w:themeColor="text1"/>
                <w:szCs w:val="21"/>
              </w:rPr>
              <w:t>项，</w:t>
            </w:r>
            <w:r>
              <w:rPr>
                <w:rFonts w:hint="eastAsia" w:ascii="宋体" w:hAnsi="宋体" w:eastAsia="宋体" w:cs="宋体"/>
                <w:b/>
                <w:color w:val="000000" w:themeColor="text1"/>
                <w:szCs w:val="21"/>
              </w:rPr>
              <w:t>█</w:t>
            </w:r>
            <w:r>
              <w:rPr>
                <w:rFonts w:hint="eastAsia" w:ascii="宋体" w:hAnsi="宋体"/>
                <w:b/>
                <w:color w:val="000000" w:themeColor="text1"/>
                <w:szCs w:val="21"/>
              </w:rPr>
              <w:t>法律法规获取充分，</w:t>
            </w:r>
            <w:r>
              <w:rPr>
                <w:rFonts w:hint="eastAsia" w:ascii="宋体" w:hAnsi="宋体" w:eastAsia="宋体" w:cs="宋体"/>
                <w:b/>
                <w:color w:val="000000" w:themeColor="text1"/>
                <w:szCs w:val="21"/>
              </w:rPr>
              <w:sym w:font="Wingdings" w:char="00A8"/>
            </w:r>
            <w:r>
              <w:rPr>
                <w:rFonts w:hint="eastAsia" w:ascii="宋体" w:hAnsi="宋体"/>
                <w:b/>
                <w:color w:val="000000" w:themeColor="text1"/>
                <w:szCs w:val="21"/>
              </w:rPr>
              <w:t>法律法规获取有遗漏，缺少</w:t>
            </w:r>
            <w:r>
              <w:rPr>
                <w:rFonts w:hint="eastAsia" w:ascii="宋体" w:hAnsi="宋体"/>
                <w:b/>
                <w:color w:val="000000" w:themeColor="text1"/>
                <w:szCs w:val="21"/>
                <w:lang w:eastAsia="zh-CN"/>
              </w:rPr>
              <w:t>，</w:t>
            </w:r>
          </w:p>
          <w:p>
            <w:pPr>
              <w:tabs>
                <w:tab w:val="left" w:pos="540"/>
              </w:tabs>
              <w:spacing w:line="300" w:lineRule="exact"/>
              <w:ind w:left="1" w:leftChars="-43" w:hanging="91" w:hangingChars="43"/>
              <w:rPr>
                <w:rFonts w:ascii="宋体" w:hAnsi="宋体"/>
                <w:b/>
                <w:color w:val="000000" w:themeColor="text1"/>
                <w:szCs w:val="21"/>
                <w:u w:val="single"/>
              </w:rPr>
            </w:pPr>
          </w:p>
          <w:p>
            <w:pPr>
              <w:pStyle w:val="14"/>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w:t>
            </w:r>
            <w:r>
              <w:rPr>
                <w:rFonts w:hint="eastAsia" w:ascii="宋体" w:hAnsi="宋体"/>
                <w:b/>
                <w:color w:val="000000" w:themeColor="text1"/>
                <w:szCs w:val="21"/>
              </w:rPr>
              <w:sym w:font="Wingdings" w:char="00A8"/>
            </w:r>
            <w:r>
              <w:rPr>
                <w:rFonts w:hint="eastAsia" w:ascii="宋体" w:hAnsi="宋体"/>
                <w:b/>
                <w:color w:val="000000" w:themeColor="text1"/>
                <w:szCs w:val="21"/>
              </w:rPr>
              <w:t>环境因素</w:t>
            </w:r>
            <w:r>
              <w:rPr>
                <w:rFonts w:hint="eastAsia" w:ascii="宋体" w:hAnsi="宋体"/>
                <w:b/>
                <w:color w:val="000000" w:themeColor="text1"/>
                <w:szCs w:val="21"/>
              </w:rPr>
              <w:sym w:font="Wingdings" w:char="00A8"/>
            </w:r>
            <w:r>
              <w:rPr>
                <w:rFonts w:hint="eastAsia" w:ascii="宋体" w:hAnsi="宋体"/>
                <w:b/>
                <w:color w:val="000000" w:themeColor="text1"/>
                <w:szCs w:val="21"/>
              </w:rPr>
              <w:t>危险源，■确定 □未确定法律法规要求的具体条款，</w:t>
            </w:r>
          </w:p>
          <w:p>
            <w:pPr>
              <w:pStyle w:val="20"/>
              <w:numPr>
                <w:ilvl w:val="0"/>
                <w:numId w:val="2"/>
              </w:numPr>
              <w:tabs>
                <w:tab w:val="left" w:pos="540"/>
              </w:tabs>
              <w:spacing w:line="300" w:lineRule="exact"/>
              <w:ind w:firstLineChars="0"/>
              <w:rPr>
                <w:rFonts w:ascii="宋体" w:hAnsi="宋体"/>
                <w:szCs w:val="21"/>
              </w:rPr>
            </w:pPr>
            <w:r>
              <w:rPr>
                <w:rFonts w:hint="eastAsia" w:ascii="宋体" w:hAnsi="宋体"/>
                <w:b/>
                <w:color w:val="000000" w:themeColor="text1"/>
                <w:szCs w:val="21"/>
              </w:rPr>
              <w:t>法律法规的宣传方式：</w:t>
            </w:r>
            <w:r>
              <w:rPr>
                <w:rFonts w:hint="eastAsia" w:ascii="宋体" w:hAnsi="宋体"/>
                <w:szCs w:val="21"/>
              </w:rPr>
              <w:t>进行发放纸质文件、电子文件的形式</w:t>
            </w:r>
          </w:p>
          <w:p>
            <w:pPr>
              <w:pStyle w:val="20"/>
              <w:numPr>
                <w:ilvl w:val="0"/>
                <w:numId w:val="2"/>
              </w:numPr>
              <w:tabs>
                <w:tab w:val="left" w:pos="540"/>
              </w:tabs>
              <w:spacing w:line="300" w:lineRule="exact"/>
              <w:ind w:firstLineChars="0"/>
              <w:rPr>
                <w:rFonts w:ascii="宋体" w:hAnsi="宋体"/>
                <w:b/>
                <w:szCs w:val="21"/>
              </w:rPr>
            </w:pPr>
            <w:r>
              <w:rPr>
                <w:rFonts w:hint="eastAsia" w:ascii="宋体" w:hAnsi="宋体"/>
                <w:b/>
                <w:color w:val="000000" w:themeColor="text1"/>
                <w:szCs w:val="21"/>
              </w:rPr>
              <w:t>法律法规要求及时更新了</w:t>
            </w:r>
            <w:r>
              <w:rPr>
                <w:rFonts w:hint="eastAsia" w:ascii="宋体" w:hAnsi="宋体"/>
                <w:szCs w:val="21"/>
              </w:rPr>
              <w:t>每年一次</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hint="eastAsia" w:ascii="宋体" w:hAnsi="宋体" w:cs="宋体"/>
                <w:color w:val="000000"/>
                <w:kern w:val="0"/>
                <w:szCs w:val="21"/>
              </w:rPr>
            </w:pPr>
            <w:r>
              <w:rPr>
                <w:rFonts w:hint="eastAsia"/>
                <w:color w:val="000000"/>
                <w:szCs w:val="21"/>
              </w:rPr>
              <w:t>质</w:t>
            </w:r>
            <w:r>
              <w:rPr>
                <w:rFonts w:hint="eastAsia" w:ascii="宋体" w:hAnsi="宋体" w:cs="宋体"/>
                <w:color w:val="000000"/>
                <w:kern w:val="0"/>
                <w:szCs w:val="21"/>
              </w:rPr>
              <w:t>量目标：</w:t>
            </w:r>
          </w:p>
          <w:p>
            <w:pPr>
              <w:pStyle w:val="5"/>
              <w:numPr>
                <w:ilvl w:val="0"/>
                <w:numId w:val="0"/>
              </w:numPr>
              <w:tabs>
                <w:tab w:val="left" w:pos="1260"/>
              </w:tabs>
              <w:rPr>
                <w:rFonts w:ascii="宋体" w:hAnsi="宋体"/>
                <w:b/>
                <w:color w:val="000000" w:themeColor="text1"/>
              </w:rPr>
            </w:pPr>
            <w:r>
              <w:rPr>
                <w:rFonts w:hint="eastAsia" w:ascii="宋体" w:hAnsi="宋体"/>
                <w:szCs w:val="21"/>
              </w:rPr>
              <w:t>客户满意度 ≥ 96分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质量管理</w:t>
            </w:r>
            <w:r>
              <w:rPr>
                <w:rFonts w:hint="eastAsia" w:ascii="宋体" w:hAnsi="宋体" w:cs="宋体"/>
                <w:color w:val="000000" w:themeColor="text1"/>
              </w:rPr>
              <w:t>体系文件，体系文件对管理体系各过程进行了识别确定、明确了各要素间的相互关系及其管控要求。公司体系文件于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20</w:t>
            </w:r>
            <w:r>
              <w:rPr>
                <w:rFonts w:hint="eastAsia" w:ascii="宋体" w:hAnsi="宋体" w:cs="宋体"/>
                <w:color w:val="000000" w:themeColor="text1"/>
              </w:rPr>
              <w:t>年</w:t>
            </w:r>
            <w:r>
              <w:rPr>
                <w:rFonts w:hint="eastAsia" w:ascii="宋体" w:hAnsi="宋体" w:cs="宋体"/>
                <w:color w:val="000000" w:themeColor="text1"/>
                <w:lang w:val="en-US" w:eastAsia="zh-CN"/>
              </w:rPr>
              <w:t>04</w:t>
            </w:r>
            <w:r>
              <w:rPr>
                <w:rFonts w:hint="eastAsia" w:ascii="宋体" w:hAnsi="宋体" w:cs="宋体"/>
                <w:color w:val="000000" w:themeColor="text1"/>
              </w:rPr>
              <w:t>月</w:t>
            </w:r>
            <w:r>
              <w:rPr>
                <w:rFonts w:hint="eastAsia" w:ascii="宋体" w:hAnsi="宋体" w:cs="宋体"/>
                <w:color w:val="000000" w:themeColor="text1"/>
                <w:lang w:val="en-US" w:eastAsia="zh-CN"/>
              </w:rPr>
              <w:t>8</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产品的生产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pStyle w:val="2"/>
              <w:rPr>
                <w:rFonts w:ascii="宋体" w:hAnsi="宋体"/>
                <w:b/>
                <w:color w:val="000000" w:themeColor="text1"/>
                <w:sz w:val="20"/>
                <w:szCs w:val="20"/>
              </w:rPr>
            </w:pPr>
            <w:r>
              <w:rPr>
                <w:rFonts w:hint="eastAsia"/>
                <w:sz w:val="21"/>
                <w:szCs w:val="21"/>
                <w:lang w:val="en-US" w:eastAsia="zh-CN"/>
              </w:rPr>
              <w:t>组织为配有的加工厂房及办公场地.主要生产设备包括：</w:t>
            </w:r>
            <w:r>
              <w:rPr>
                <w:rFonts w:hint="eastAsia" w:cs="Times New Roman"/>
                <w:b/>
                <w:bCs/>
                <w:color w:val="000000" w:themeColor="text1"/>
                <w:spacing w:val="10"/>
                <w:kern w:val="2"/>
                <w:sz w:val="21"/>
                <w:szCs w:val="22"/>
                <w:lang w:val="en-US" w:eastAsia="zh-CN" w:bidi="ar-SA"/>
              </w:rPr>
              <w:t>混凝土搅拌站、混凝土生产线、装载车</w:t>
            </w:r>
            <w:r>
              <w:rPr>
                <w:rFonts w:hint="eastAsia" w:ascii="宋体" w:hAnsi="宋体"/>
                <w:color w:val="000000" w:themeColor="text1"/>
                <w:spacing w:val="-10"/>
                <w:sz w:val="20"/>
                <w:szCs w:val="20"/>
                <w:lang w:val="en-US" w:eastAsia="zh-CN"/>
              </w:rPr>
              <w:t>等</w:t>
            </w:r>
            <w:r>
              <w:rPr>
                <w:rFonts w:hint="eastAsia"/>
                <w:sz w:val="21"/>
                <w:szCs w:val="21"/>
                <w:lang w:val="en-US" w:eastAsia="zh-CN"/>
              </w:rPr>
              <w:t>，可以满足产品加工需要。对设备按月方式进行点检维护保养，并实施。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rPr>
              <w:t>车间内设备布置合理，通道畅通，照明设施齐全，均配备了消防设施等设施。办公室明亮，作业场所光线较充足。每月由生产部对工作环境进行定期检查。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cs="宋体"/>
                <w:color w:val="000000"/>
                <w:szCs w:val="21"/>
              </w:rPr>
            </w:pPr>
            <w:r>
              <w:rPr>
                <w:rFonts w:hint="eastAsia" w:ascii="宋体" w:hAnsi="宋体"/>
                <w:b/>
                <w:color w:val="000000" w:themeColor="text1"/>
                <w:sz w:val="20"/>
                <w:szCs w:val="20"/>
              </w:rPr>
              <w:t>监视和测量资源</w:t>
            </w:r>
          </w:p>
          <w:p>
            <w:pPr>
              <w:rPr>
                <w:rFonts w:hint="default" w:ascii="宋体" w:hAnsi="宋体"/>
                <w:b/>
                <w:color w:val="000000" w:themeColor="text1"/>
                <w:sz w:val="20"/>
                <w:szCs w:val="20"/>
                <w:lang w:val="en-US"/>
              </w:rPr>
            </w:pPr>
            <w:r>
              <w:rPr>
                <w:rFonts w:hint="eastAsia"/>
                <w:sz w:val="21"/>
                <w:szCs w:val="21"/>
                <w:lang w:eastAsia="zh-CN"/>
              </w:rPr>
              <w:t>公司的监视和测量设施设备主要是</w:t>
            </w:r>
            <w:r>
              <w:rPr>
                <w:rFonts w:hint="eastAsia"/>
              </w:rPr>
              <w:t>地磅、压力试验机、箱式电阻温度控制仪、数显压力试验机、电动抗折试验机、干湿计、水泥胶砂流动度测定仪、砂浆稠度仪</w:t>
            </w:r>
            <w:r>
              <w:rPr>
                <w:rFonts w:hint="eastAsia"/>
                <w:lang w:val="en-US" w:eastAsia="zh-CN"/>
              </w:rPr>
              <w:t>等</w:t>
            </w:r>
            <w:r>
              <w:rPr>
                <w:rFonts w:hint="eastAsia"/>
                <w:sz w:val="21"/>
                <w:szCs w:val="21"/>
                <w:lang w:eastAsia="zh-CN"/>
              </w:rPr>
              <w:t>，能保证产品的生产检测要求。</w:t>
            </w:r>
            <w:r>
              <w:rPr>
                <w:rFonts w:hint="eastAsia"/>
                <w:sz w:val="21"/>
                <w:szCs w:val="21"/>
                <w:lang w:val="en-US" w:eastAsia="zh-CN"/>
              </w:rPr>
              <w:t>提供有检测报告，见附件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360" w:lineRule="auto"/>
              <w:ind w:firstLine="420" w:firstLineChars="200"/>
              <w:rPr>
                <w:rFonts w:hint="default" w:eastAsia="宋体"/>
                <w:b/>
                <w:color w:val="000000" w:themeColor="text1"/>
                <w:sz w:val="20"/>
                <w:szCs w:val="20"/>
                <w:lang w:val="en-US" w:eastAsia="zh-CN"/>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 QMS关键工序</w:t>
            </w:r>
            <w:r>
              <w:rPr>
                <w:rFonts w:hint="eastAsia" w:ascii="宋体" w:hAnsi="宋体" w:cs="宋体"/>
                <w:color w:val="000000"/>
                <w:szCs w:val="21"/>
                <w:lang w:eastAsia="zh-CN"/>
              </w:rPr>
              <w:t>：</w:t>
            </w:r>
            <w:r>
              <w:rPr>
                <w:rFonts w:hint="eastAsia" w:ascii="宋体" w:hAnsi="宋体" w:cs="宋体"/>
                <w:color w:val="000000"/>
                <w:szCs w:val="21"/>
                <w:lang w:val="en-US" w:eastAsia="zh-CN"/>
              </w:rPr>
              <w:t xml:space="preserve">配料 </w:t>
            </w:r>
            <w:r>
              <w:rPr>
                <w:rFonts w:hint="eastAsia" w:ascii="宋体" w:hAnsi="宋体" w:cs="宋体"/>
                <w:color w:val="000000"/>
                <w:szCs w:val="21"/>
              </w:rPr>
              <w:t>特殊过程</w:t>
            </w:r>
            <w:r>
              <w:rPr>
                <w:rFonts w:hint="eastAsia" w:ascii="宋体" w:hAnsi="宋体" w:cs="宋体"/>
                <w:color w:val="000000"/>
                <w:szCs w:val="21"/>
                <w:lang w:eastAsia="zh-CN"/>
              </w:rPr>
              <w:t>：</w:t>
            </w:r>
            <w:r>
              <w:rPr>
                <w:rFonts w:hint="eastAsia" w:ascii="宋体" w:hAnsi="宋体" w:cs="宋体"/>
                <w:color w:val="000000"/>
                <w:szCs w:val="21"/>
                <w:lang w:val="en-US" w:eastAsia="zh-CN"/>
              </w:rPr>
              <w:t>配料过程、销售过程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验收规范、验收记录等。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lang w:val="en-US" w:eastAsia="zh-CN"/>
              </w:rPr>
              <w:t>远程</w:t>
            </w:r>
            <w:r>
              <w:rPr>
                <w:rFonts w:hint="eastAsia" w:ascii="宋体" w:hAnsi="宋体" w:cs="宋体"/>
                <w:color w:val="000000"/>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400" w:lineRule="exact"/>
              <w:rPr>
                <w:rFonts w:hint="eastAsia" w:eastAsia="宋体"/>
                <w:color w:val="auto"/>
                <w:sz w:val="21"/>
                <w:szCs w:val="21"/>
                <w:lang w:val="en-US" w:eastAsia="zh-CN"/>
              </w:rPr>
            </w:pPr>
            <w:r>
              <w:rPr>
                <w:rFonts w:hint="eastAsia"/>
                <w:color w:val="auto"/>
                <w:sz w:val="21"/>
                <w:szCs w:val="21"/>
              </w:rPr>
              <w:t>特种设备：</w:t>
            </w:r>
            <w:r>
              <w:rPr>
                <w:rFonts w:hint="eastAsia"/>
                <w:color w:val="auto"/>
                <w:sz w:val="21"/>
                <w:szCs w:val="21"/>
                <w:lang w:val="en-US" w:eastAsia="zh-CN"/>
              </w:rPr>
              <w:t>无</w:t>
            </w:r>
          </w:p>
          <w:p>
            <w:pPr>
              <w:ind w:left="210" w:leftChars="100" w:firstLine="100" w:firstLineChars="50"/>
              <w:jc w:val="left"/>
              <w:rPr>
                <w:rFonts w:hint="eastAsia" w:eastAsia="宋体"/>
                <w:b/>
                <w:color w:val="000000" w:themeColor="text1"/>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color w:val="FF0000"/>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1</w:t>
            </w:r>
            <w:r>
              <w:rPr>
                <w:rFonts w:hint="eastAsia" w:ascii="宋体" w:hAnsi="宋体" w:cs="宋体"/>
                <w:color w:val="000000"/>
                <w:szCs w:val="21"/>
              </w:rPr>
              <w:t>-</w:t>
            </w:r>
            <w:r>
              <w:rPr>
                <w:rFonts w:hint="eastAsia" w:ascii="宋体" w:hAnsi="宋体" w:cs="宋体"/>
                <w:color w:val="000000"/>
                <w:szCs w:val="21"/>
                <w:lang w:val="en-US" w:eastAsia="zh-CN"/>
              </w:rPr>
              <w:t>2020年06</w:t>
            </w:r>
            <w:r>
              <w:rPr>
                <w:rFonts w:hint="eastAsia" w:ascii="宋体" w:hAnsi="宋体" w:cs="宋体"/>
                <w:color w:val="000000"/>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3</w:t>
            </w:r>
            <w:r>
              <w:rPr>
                <w:rFonts w:hint="eastAsia" w:ascii="宋体" w:hAnsi="宋体" w:cs="宋体"/>
                <w:color w:val="000000"/>
                <w:szCs w:val="21"/>
              </w:rPr>
              <w:t>月实施，满意度评价9</w:t>
            </w:r>
            <w:r>
              <w:rPr>
                <w:rFonts w:hint="eastAsia" w:ascii="宋体" w:hAnsi="宋体" w:cs="宋体"/>
                <w:color w:val="000000"/>
                <w:szCs w:val="21"/>
                <w:lang w:val="en-US" w:eastAsia="zh-CN"/>
              </w:rPr>
              <w:t>9分</w:t>
            </w:r>
            <w:r>
              <w:rPr>
                <w:rFonts w:hint="eastAsia" w:ascii="宋体" w:hAnsi="宋体" w:cs="宋体"/>
                <w:color w:val="000000"/>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400" w:lineRule="exact"/>
              <w:rPr>
                <w:b/>
                <w:color w:val="FF0000"/>
                <w:sz w:val="20"/>
                <w:szCs w:val="20"/>
              </w:rPr>
            </w:pPr>
            <w:r>
              <w:rPr>
                <w:rFonts w:hint="eastAsia" w:ascii="宋体" w:hAnsi="宋体" w:cs="宋体"/>
                <w:szCs w:val="21"/>
              </w:rPr>
              <w:t>建立有《</w:t>
            </w:r>
            <w:r>
              <w:rPr>
                <w:rFonts w:hint="eastAsia" w:ascii="宋体" w:hAnsi="宋体" w:cs="宋体"/>
                <w:color w:val="auto"/>
                <w:szCs w:val="21"/>
              </w:rPr>
              <w:t>内部审核控制程序》，规定了内审频次一年一次，内审时间</w:t>
            </w:r>
            <w:r>
              <w:rPr>
                <w:rFonts w:hint="eastAsia" w:ascii="宋体" w:hAnsi="宋体" w:cs="宋体"/>
                <w:color w:val="auto"/>
                <w:szCs w:val="21"/>
                <w:lang w:eastAsia="zh-CN"/>
              </w:rPr>
              <w:t>：</w:t>
            </w:r>
            <w:r>
              <w:rPr>
                <w:rFonts w:hint="eastAsia"/>
                <w:color w:val="auto"/>
                <w:sz w:val="21"/>
                <w:szCs w:val="21"/>
                <w:lang w:eastAsia="zh-CN"/>
              </w:rPr>
              <w:t>2020年</w:t>
            </w:r>
            <w:r>
              <w:rPr>
                <w:rFonts w:hint="eastAsia"/>
                <w:color w:val="auto"/>
                <w:sz w:val="21"/>
                <w:szCs w:val="21"/>
                <w:lang w:val="en-US" w:eastAsia="zh-CN"/>
              </w:rPr>
              <w:t>07</w:t>
            </w:r>
            <w:r>
              <w:rPr>
                <w:rFonts w:hint="eastAsia"/>
                <w:color w:val="auto"/>
                <w:sz w:val="21"/>
                <w:szCs w:val="21"/>
                <w:lang w:eastAsia="zh-CN"/>
              </w:rPr>
              <w:t>月</w:t>
            </w:r>
            <w:r>
              <w:rPr>
                <w:rFonts w:hint="eastAsia"/>
                <w:color w:val="auto"/>
                <w:sz w:val="21"/>
                <w:szCs w:val="21"/>
                <w:lang w:val="en-US" w:eastAsia="zh-CN"/>
              </w:rPr>
              <w:t>9</w:t>
            </w:r>
            <w:r>
              <w:rPr>
                <w:rFonts w:hint="eastAsia"/>
                <w:color w:val="auto"/>
                <w:sz w:val="21"/>
                <w:szCs w:val="21"/>
                <w:lang w:eastAsia="zh-CN"/>
              </w:rPr>
              <w:t>日</w:t>
            </w:r>
            <w:r>
              <w:rPr>
                <w:rFonts w:hint="eastAsia" w:ascii="宋体" w:hAnsi="宋体" w:cs="宋体"/>
                <w:color w:val="auto"/>
                <w:szCs w:val="21"/>
              </w:rPr>
              <w:t>，拟定了审核实施表，明确了内审范围，内审人员经培训合格上岗，能力满足要求，未出现审核本部门情况，内审不符合项</w:t>
            </w:r>
            <w:r>
              <w:rPr>
                <w:rFonts w:hint="eastAsia" w:ascii="宋体" w:hAnsi="宋体" w:cs="宋体"/>
                <w:color w:val="auto"/>
                <w:szCs w:val="21"/>
                <w:lang w:val="en-US" w:eastAsia="zh-CN"/>
              </w:rPr>
              <w:t>1</w:t>
            </w:r>
            <w:r>
              <w:rPr>
                <w:rFonts w:hint="eastAsia" w:ascii="宋体" w:hAnsi="宋体" w:cs="宋体"/>
                <w:color w:val="auto"/>
                <w:szCs w:val="21"/>
              </w:rPr>
              <w:t>项，</w:t>
            </w:r>
            <w:r>
              <w:rPr>
                <w:rFonts w:hint="eastAsia" w:ascii="宋体" w:hAnsi="宋体" w:cs="宋体"/>
                <w:color w:val="auto"/>
                <w:szCs w:val="21"/>
                <w:lang w:val="en-US" w:eastAsia="zh-CN"/>
              </w:rPr>
              <w:t>经过整改，</w:t>
            </w:r>
            <w:r>
              <w:rPr>
                <w:rFonts w:hint="eastAsia" w:ascii="宋体" w:hAnsi="宋体" w:cs="宋体"/>
                <w:color w:val="auto"/>
                <w:szCs w:val="21"/>
              </w:rPr>
              <w:t>已及</w:t>
            </w:r>
            <w:r>
              <w:rPr>
                <w:rFonts w:hint="eastAsia"/>
                <w:color w:val="auto"/>
                <w:szCs w:val="21"/>
              </w:rPr>
              <w:t>时采取纠正措施后，经内审员验证关闭。</w:t>
            </w:r>
            <w:r>
              <w:rPr>
                <w:rFonts w:hint="eastAsia" w:ascii="宋体" w:hAnsi="宋体" w:cs="宋体"/>
                <w:color w:val="auto"/>
                <w:szCs w:val="21"/>
              </w:rPr>
              <w:t>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rPr>
              <w:t>管理评审频次为一年一次、本次管理评审于</w:t>
            </w:r>
            <w:r>
              <w:rPr>
                <w:rFonts w:hint="eastAsia" w:ascii="Times New Roman" w:hAnsi="Times New Roman" w:cs="Times New Roman"/>
                <w:sz w:val="21"/>
                <w:szCs w:val="21"/>
              </w:rPr>
              <w:t>20</w:t>
            </w:r>
            <w:r>
              <w:rPr>
                <w:rFonts w:hint="eastAsia" w:cs="Times New Roman"/>
                <w:sz w:val="21"/>
                <w:szCs w:val="21"/>
                <w:lang w:val="en-US" w:eastAsia="zh-CN"/>
              </w:rPr>
              <w:t>20</w:t>
            </w:r>
            <w:r>
              <w:rPr>
                <w:rFonts w:hint="eastAsia" w:ascii="Times New Roman" w:hAnsi="Times New Roman" w:cs="Times New Roman"/>
                <w:sz w:val="21"/>
                <w:szCs w:val="21"/>
              </w:rPr>
              <w:t>年</w:t>
            </w:r>
            <w:r>
              <w:rPr>
                <w:rFonts w:hint="eastAsia" w:cs="Times New Roman"/>
                <w:sz w:val="21"/>
                <w:szCs w:val="21"/>
                <w:lang w:val="en-US" w:eastAsia="zh-CN"/>
              </w:rPr>
              <w:t>7</w:t>
            </w:r>
            <w:r>
              <w:rPr>
                <w:rFonts w:hint="eastAsia" w:ascii="Times New Roman" w:hAnsi="Times New Roman" w:cs="Times New Roman"/>
                <w:sz w:val="21"/>
                <w:szCs w:val="21"/>
              </w:rPr>
              <w:t>月</w:t>
            </w:r>
            <w:r>
              <w:rPr>
                <w:rFonts w:hint="eastAsia" w:cs="Times New Roman"/>
                <w:sz w:val="21"/>
                <w:szCs w:val="21"/>
                <w:lang w:val="en-US" w:eastAsia="zh-CN"/>
              </w:rPr>
              <w:t>21</w:t>
            </w:r>
            <w:r>
              <w:rPr>
                <w:rFonts w:hint="eastAsia" w:ascii="Times New Roman" w:hAnsi="Times New Roman" w:cs="Times New Roman"/>
                <w:sz w:val="21"/>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w:t>
            </w:r>
            <w:r>
              <w:rPr>
                <w:rFonts w:hint="eastAsia" w:ascii="宋体" w:hAnsi="宋体" w:cs="宋体"/>
                <w:szCs w:val="21"/>
                <w:lang w:eastAsia="zh-CN"/>
              </w:rPr>
              <w:t>输入、</w:t>
            </w:r>
            <w:r>
              <w:rPr>
                <w:rFonts w:hint="eastAsia" w:ascii="宋体" w:hAnsi="宋体" w:cs="宋体"/>
                <w:szCs w:val="21"/>
              </w:rPr>
              <w:t>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FF0000"/>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3. 一阶段提出问题的整改情况?</w:t>
            </w:r>
          </w:p>
          <w:p>
            <w:pPr>
              <w:spacing w:line="240" w:lineRule="exact"/>
              <w:rPr>
                <w:rFonts w:hint="eastAsia" w:eastAsia="宋体"/>
                <w:b/>
                <w:color w:val="000000" w:themeColor="text1"/>
                <w:spacing w:val="-20"/>
                <w:sz w:val="20"/>
                <w:szCs w:val="20"/>
                <w:lang w:val="en-US" w:eastAsia="zh-CN"/>
              </w:rPr>
            </w:pPr>
            <w:r>
              <w:rPr>
                <w:rFonts w:hint="eastAsia"/>
                <w:b/>
                <w:color w:val="000000" w:themeColor="text1"/>
                <w:spacing w:val="-2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w:t>
      </w:r>
      <w:r>
        <w:rPr>
          <w:rFonts w:hint="eastAsia"/>
          <w:b/>
          <w:color w:val="000000" w:themeColor="text1"/>
          <w:lang w:val="en-US" w:eastAsia="zh-CN"/>
        </w:rPr>
        <w:t>0</w:t>
      </w:r>
      <w:r>
        <w:rPr>
          <w:rFonts w:hint="eastAsia"/>
          <w:b/>
          <w:color w:val="000000" w:themeColor="text1"/>
        </w:rPr>
        <w:t>不符合项报告</w:t>
      </w:r>
      <w:r>
        <w:rPr>
          <w:rFonts w:hint="eastAsia"/>
          <w:b/>
          <w:color w:val="000000" w:themeColor="text1"/>
          <w:lang w:val="en-US" w:eastAsia="zh-CN"/>
        </w:rPr>
        <w:t>0</w:t>
      </w:r>
      <w:r>
        <w:rPr>
          <w:rFonts w:hint="eastAsia"/>
          <w:b/>
          <w:color w:val="000000" w:themeColor="text1"/>
        </w:rPr>
        <w:t xml:space="preserve"> 项；其中</w:t>
      </w:r>
      <w:r>
        <w:rPr>
          <w:b/>
          <w:color w:val="000000" w:themeColor="text1"/>
        </w:rPr>
        <w:pict>
          <v:line id="直接连接符 1" o:spid="_x0000_s1026"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 xml:space="preserve">严重不符合 0 项，一般不符合 </w:t>
      </w:r>
      <w:r>
        <w:rPr>
          <w:rFonts w:hint="eastAsia"/>
          <w:b/>
          <w:color w:val="000000" w:themeColor="text1"/>
          <w:lang w:val="en-US" w:eastAsia="zh-CN"/>
        </w:rPr>
        <w:t>0</w:t>
      </w:r>
      <w:r>
        <w:rPr>
          <w:rFonts w:hint="eastAsia"/>
          <w:b/>
          <w:color w:val="000000" w:themeColor="text1"/>
        </w:rPr>
        <w:t xml:space="preserve">项，观察项 </w:t>
      </w:r>
      <w:r>
        <w:rPr>
          <w:rFonts w:hint="eastAsia"/>
          <w:b/>
          <w:color w:val="000000" w:themeColor="text1"/>
          <w:lang w:val="en-US" w:eastAsia="zh-CN"/>
        </w:rPr>
        <w:t>0</w:t>
      </w:r>
      <w:r>
        <w:rPr>
          <w:rFonts w:hint="eastAsia"/>
          <w:b/>
          <w:color w:val="000000" w:themeColor="text1"/>
        </w:rPr>
        <w:t>项，</w:t>
      </w:r>
      <w:r>
        <w:rPr>
          <w:rFonts w:hint="eastAsia"/>
          <w:b/>
          <w:color w:val="000000" w:themeColor="text1"/>
          <w:lang w:val="en-US" w:eastAsia="zh-CN"/>
        </w:rPr>
        <w:t>）</w:t>
      </w:r>
      <w:r>
        <w:rPr>
          <w:rFonts w:hint="eastAsia"/>
          <w:b/>
          <w:color w:val="000000" w:themeColor="text1"/>
        </w:rPr>
        <w:t>，分布见附件。（Q/J/E/S分开填写）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sz w:val="26"/>
          <w:szCs w:val="26"/>
        </w:rPr>
        <w:t>☑</w:t>
      </w:r>
      <w:r>
        <w:rPr>
          <w:rFonts w:hint="eastAsia"/>
          <w:b/>
          <w:color w:val="000000" w:themeColor="text1"/>
        </w:rPr>
        <w:t>不大</w:t>
      </w:r>
    </w:p>
    <w:p>
      <w:pPr>
        <w:tabs>
          <w:tab w:val="left" w:pos="215"/>
          <w:tab w:val="left" w:pos="430"/>
        </w:tabs>
        <w:spacing w:line="360" w:lineRule="auto"/>
        <w:ind w:left="-190" w:leftChars="-472" w:hanging="801" w:hangingChars="380"/>
        <w:rPr>
          <w:rFonts w:hint="eastAsia"/>
          <w:b/>
          <w:color w:val="000000" w:themeColor="text1"/>
        </w:rPr>
      </w:pPr>
      <w:r>
        <w:rPr>
          <w:rFonts w:hint="eastAsia"/>
          <w:b/>
          <w:color w:val="000000" w:themeColor="text1"/>
        </w:rPr>
        <w:t>八、已识别出的任何未解决的问题：</w:t>
      </w:r>
    </w:p>
    <w:p>
      <w:pPr>
        <w:tabs>
          <w:tab w:val="left" w:pos="215"/>
          <w:tab w:val="left" w:pos="430"/>
        </w:tabs>
        <w:spacing w:line="360" w:lineRule="auto"/>
        <w:ind w:left="1" w:leftChars="-472" w:hanging="992" w:hangingChars="380"/>
        <w:rPr>
          <w:rFonts w:hint="eastAsia" w:ascii="宋体" w:hAnsi="宋体"/>
          <w:b/>
          <w:color w:val="000000" w:themeColor="text1"/>
          <w:szCs w:val="21"/>
          <w:lang w:eastAsia="zh-CN"/>
        </w:rPr>
      </w:pPr>
      <w:r>
        <w:rPr>
          <w:rFonts w:hint="eastAsia"/>
          <w:b/>
          <w:sz w:val="26"/>
          <w:szCs w:val="26"/>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eastAsia="zh-CN"/>
        </w:rPr>
        <w:t>无</w:t>
      </w:r>
    </w:p>
    <w:p>
      <w:pPr>
        <w:tabs>
          <w:tab w:val="left" w:pos="215"/>
          <w:tab w:val="left" w:pos="430"/>
        </w:tabs>
        <w:spacing w:line="360" w:lineRule="auto"/>
        <w:ind w:left="-190" w:leftChars="-472" w:hanging="801" w:hangingChars="380"/>
        <w:rPr>
          <w:rFonts w:ascii="宋体" w:hAnsi="宋体"/>
          <w:b/>
          <w:color w:val="000000" w:themeColor="text1"/>
          <w:szCs w:val="21"/>
        </w:rPr>
      </w:pPr>
      <w:r>
        <w:rPr>
          <w:rFonts w:hint="eastAsia" w:ascii="宋体" w:hAnsi="宋体"/>
          <w:b/>
          <w:color w:val="000000" w:themeColor="text1"/>
          <w:szCs w:val="21"/>
          <w:lang w:val="en-US" w:eastAsia="zh-CN"/>
        </w:rPr>
        <w:t>核实审核实际情况</w:t>
      </w:r>
    </w:p>
    <w:tbl>
      <w:tblPr>
        <w:tblStyle w:val="11"/>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 w:leftChars="-337" w:hanging="707" w:hangingChars="271"/>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 xml:space="preserve">达到审核目的 </w:t>
      </w:r>
      <w:bookmarkStart w:id="9" w:name="_GoBack"/>
      <w:bookmarkEnd w:id="9"/>
    </w:p>
    <w:p>
      <w:pPr>
        <w:snapToGrid w:val="0"/>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napToGrid w:val="0"/>
        <w:spacing w:line="360" w:lineRule="auto"/>
        <w:ind w:left="-1" w:leftChars="-337" w:hanging="707" w:hangingChars="271"/>
        <w:rPr>
          <w:b/>
          <w:color w:val="000000" w:themeColor="text1"/>
          <w:sz w:val="26"/>
          <w:szCs w:val="26"/>
        </w:rPr>
      </w:pPr>
      <w:r>
        <w:rPr>
          <w:rFonts w:hint="eastAsia"/>
          <w:b/>
          <w:color w:val="000000" w:themeColor="text1"/>
          <w:sz w:val="26"/>
          <w:szCs w:val="26"/>
        </w:rPr>
        <w:t>十、审核结论</w:t>
      </w:r>
    </w:p>
    <w:tbl>
      <w:tblPr>
        <w:tblStyle w:val="10"/>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3"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sz w:val="26"/>
                <w:szCs w:val="26"/>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 xml:space="preserve">GJB   </w:t>
            </w:r>
            <w:r>
              <w:rPr>
                <w:rFonts w:hint="eastAsia"/>
                <w:b/>
                <w:sz w:val="26"/>
                <w:szCs w:val="26"/>
              </w:rPr>
              <w:t>□</w:t>
            </w:r>
            <w:r>
              <w:rPr>
                <w:rFonts w:hint="eastAsia"/>
                <w:b/>
                <w:color w:val="000000" w:themeColor="text1"/>
                <w:sz w:val="22"/>
                <w:szCs w:val="22"/>
              </w:rPr>
              <w:t xml:space="preserve">EMS  </w:t>
            </w:r>
            <w:r>
              <w:rPr>
                <w:rFonts w:hint="eastAsia"/>
                <w:b/>
                <w:sz w:val="26"/>
                <w:szCs w:val="26"/>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p>
          <w:p>
            <w:pPr>
              <w:spacing w:line="280" w:lineRule="exact"/>
              <w:ind w:firstLine="442" w:firstLineChars="200"/>
              <w:rPr>
                <w:b/>
                <w:color w:val="000000" w:themeColor="text1"/>
                <w:sz w:val="22"/>
                <w:szCs w:val="22"/>
              </w:rPr>
            </w:pPr>
            <w:r>
              <w:rPr>
                <w:rFonts w:hint="eastAsia"/>
                <w:b/>
                <w:color w:val="000000" w:themeColor="text1"/>
                <w:sz w:val="22"/>
                <w:szCs w:val="22"/>
              </w:rPr>
              <w:t>组织实施“过程控制”，满足标准要求和目标，向顾客提供稳定、合格产品，满足适用的环境/职业健康安全法规要求，</w:t>
            </w:r>
            <w:r>
              <w:rPr>
                <w:rFonts w:hint="eastAsia"/>
                <w:b/>
                <w:color w:val="000000" w:themeColor="text1"/>
                <w:sz w:val="22"/>
                <w:szCs w:val="22"/>
                <w:lang w:val="en-US" w:eastAsia="zh-CN"/>
              </w:rPr>
              <w:t>能够</w:t>
            </w:r>
            <w:r>
              <w:rPr>
                <w:rFonts w:hint="eastAsia"/>
                <w:b/>
                <w:color w:val="000000" w:themeColor="text1"/>
                <w:sz w:val="22"/>
                <w:szCs w:val="22"/>
              </w:rPr>
              <w:t>防止污染、重大事故</w:t>
            </w:r>
            <w:r>
              <w:rPr>
                <w:rFonts w:hint="eastAsia"/>
                <w:b/>
                <w:color w:val="000000" w:themeColor="text1"/>
                <w:sz w:val="22"/>
                <w:szCs w:val="22"/>
                <w:lang w:eastAsia="zh-CN"/>
              </w:rPr>
              <w:t>，</w:t>
            </w:r>
            <w:r>
              <w:rPr>
                <w:rFonts w:hint="eastAsia"/>
                <w:b/>
                <w:color w:val="000000" w:themeColor="text1"/>
                <w:sz w:val="22"/>
                <w:szCs w:val="22"/>
              </w:rPr>
              <w:t>对周边环境产生的影响</w:t>
            </w:r>
            <w:r>
              <w:rPr>
                <w:rFonts w:hint="eastAsia"/>
                <w:b/>
                <w:color w:val="000000" w:themeColor="text1"/>
                <w:sz w:val="22"/>
                <w:szCs w:val="22"/>
                <w:lang w:val="en-US" w:eastAsia="zh-CN"/>
              </w:rPr>
              <w:t>进行了控制</w:t>
            </w:r>
            <w:r>
              <w:rPr>
                <w:rFonts w:hint="eastAsia"/>
                <w:b/>
                <w:color w:val="000000" w:themeColor="text1"/>
                <w:sz w:val="22"/>
                <w:szCs w:val="22"/>
              </w:rPr>
              <w:t>，措施有效</w:t>
            </w:r>
            <w:r>
              <w:rPr>
                <w:rFonts w:hint="eastAsia"/>
                <w:b/>
                <w:color w:val="000000" w:themeColor="text1"/>
                <w:sz w:val="22"/>
                <w:szCs w:val="22"/>
                <w:lang w:eastAsia="zh-CN"/>
              </w:rPr>
              <w:t>。</w:t>
            </w:r>
          </w:p>
          <w:p>
            <w:pPr>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sz w:val="21"/>
                <w:szCs w:val="21"/>
              </w:rPr>
              <w:t>海南筑通混凝土有限公司</w:t>
            </w:r>
            <w:r>
              <w:rPr>
                <w:rFonts w:hint="eastAsia"/>
                <w:color w:val="000000"/>
                <w:szCs w:val="21"/>
                <w:u w:val="single"/>
                <w:lang w:val="en-US" w:eastAsia="zh-CN"/>
              </w:rPr>
              <w:t xml:space="preserve"> </w:t>
            </w:r>
            <w:r>
              <w:rPr>
                <w:rFonts w:hint="eastAsia"/>
                <w:color w:val="auto"/>
                <w:kern w:val="2"/>
                <w:sz w:val="21"/>
                <w:szCs w:val="21"/>
                <w:lang w:val="en-GB"/>
              </w:rPr>
              <w:t>的</w:t>
            </w:r>
          </w:p>
          <w:p>
            <w:pPr>
              <w:pStyle w:val="21"/>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kern w:val="2"/>
                <w:sz w:val="21"/>
                <w:szCs w:val="21"/>
                <w:lang w:val="en-GB"/>
              </w:rPr>
              <w:sym w:font="Wingdings" w:char="00A8"/>
            </w:r>
            <w:r>
              <w:rPr>
                <w:rFonts w:hint="eastAsia"/>
                <w:color w:val="auto"/>
                <w:kern w:val="2"/>
                <w:sz w:val="21"/>
                <w:szCs w:val="21"/>
                <w:lang w:val="en-GB"/>
              </w:rPr>
              <w:t>环境</w:t>
            </w:r>
            <w:r>
              <w:rPr>
                <w:rFonts w:hint="eastAsia" w:ascii="宋体" w:hAnsi="宋体" w:eastAsia="宋体" w:cs="宋体"/>
                <w:b/>
                <w:color w:val="auto"/>
                <w:kern w:val="2"/>
                <w:sz w:val="21"/>
                <w:szCs w:val="21"/>
                <w:lang w:val="en-GB"/>
              </w:rPr>
              <w:sym w:font="Wingdings" w:char="00A8"/>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10"/>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21"/>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21"/>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21"/>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21"/>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21"/>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21"/>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21"/>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21"/>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21"/>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21"/>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21"/>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21"/>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21"/>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21"/>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21"/>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21"/>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21"/>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21"/>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80" w:lineRule="exact"/>
              <w:ind w:left="221" w:hanging="221" w:hangingChars="100"/>
              <w:rPr>
                <w:b/>
                <w:color w:val="000000" w:themeColor="text1"/>
                <w:sz w:val="22"/>
                <w:szCs w:val="22"/>
              </w:rPr>
            </w:pPr>
          </w:p>
          <w:p>
            <w:pPr>
              <w:spacing w:line="240" w:lineRule="exact"/>
              <w:ind w:firstLine="382" w:firstLineChars="200"/>
              <w:rPr>
                <w:rFonts w:hint="eastAsia"/>
                <w:b/>
                <w:color w:val="000000" w:themeColor="text1"/>
                <w:sz w:val="22"/>
                <w:szCs w:val="22"/>
              </w:rPr>
            </w:pPr>
            <w:r>
              <w:rPr>
                <w:rFonts w:hint="eastAsia"/>
                <w:b/>
                <w:color w:val="000000" w:themeColor="text1"/>
                <w:spacing w:val="-10"/>
                <w:szCs w:val="21"/>
                <w:lang w:eastAsia="zh-CN"/>
              </w:rPr>
              <w:t>☑</w:t>
            </w:r>
            <w:r>
              <w:rPr>
                <w:rFonts w:hint="eastAsia"/>
                <w:b/>
                <w:color w:val="000000" w:themeColor="text1"/>
                <w:sz w:val="22"/>
                <w:szCs w:val="22"/>
              </w:rPr>
              <w:t xml:space="preserve">QMS  </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ind w:firstLine="420" w:firstLineChars="200"/>
              <w:rPr>
                <w:rFonts w:hint="eastAsia"/>
              </w:rPr>
            </w:pPr>
            <w:r>
              <w:rPr>
                <w:rFonts w:hint="eastAsia"/>
              </w:rPr>
              <w:t>组织建立并实施的管理体系基本符合标准要求，可能存在的重要风险可以得到有效控制，没有出现过环境和安全事故以及顾客投诉事件发生，体系运行基本有效，组织初步建立了自我完善和自我改进机制。</w:t>
            </w:r>
            <w:r>
              <w:rPr>
                <w:rFonts w:hint="eastAsia"/>
                <w:lang w:val="en-US" w:eastAsia="zh-CN"/>
              </w:rPr>
              <w:t>本次远程审核基本达到审核要求，</w:t>
            </w:r>
            <w:r>
              <w:rPr>
                <w:rFonts w:hint="eastAsia"/>
              </w:rPr>
              <w:t>同意推荐认证注册。</w:t>
            </w: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sz w:val="26"/>
                <w:szCs w:val="26"/>
                <w:lang w:eastAsia="zh-CN"/>
              </w:rPr>
              <w:t>☑</w:t>
            </w:r>
            <w:r>
              <w:rPr>
                <w:rFonts w:hint="eastAsia"/>
                <w:b/>
                <w:color w:val="000000" w:themeColor="text1"/>
              </w:rPr>
              <w:t>审核范围适宜，与申请范围一致</w:t>
            </w:r>
          </w:p>
          <w:p>
            <w:pPr>
              <w:spacing w:line="360" w:lineRule="auto"/>
              <w:rPr>
                <w:rFonts w:hint="eastAsia" w:eastAsia="宋体"/>
                <w:b/>
                <w:color w:val="000000" w:themeColor="text1"/>
                <w:lang w:eastAsia="zh-CN"/>
              </w:rPr>
            </w:pPr>
            <w:r>
              <w:rPr>
                <w:rFonts w:hint="eastAsia"/>
                <w:b/>
                <w:color w:val="000000" w:themeColor="text1"/>
                <w:spacing w:val="-10"/>
                <w:szCs w:val="21"/>
                <w:lang w:eastAsia="zh-CN"/>
              </w:rPr>
              <w:t>□</w:t>
            </w:r>
            <w:r>
              <w:rPr>
                <w:rFonts w:hint="eastAsia"/>
                <w:b/>
                <w:color w:val="000000" w:themeColor="text1"/>
              </w:rPr>
              <w:t>审核范围变更，</w:t>
            </w:r>
            <w:r>
              <w:rPr>
                <w:rFonts w:hint="eastAsia"/>
                <w:b/>
                <w:color w:val="000000" w:themeColor="text1"/>
                <w:lang w:eastAsia="zh-CN"/>
              </w:rPr>
              <w:t>（详见认证信息变更传递单）</w:t>
            </w:r>
          </w:p>
          <w:p>
            <w:pPr>
              <w:spacing w:line="0" w:lineRule="atLeast"/>
              <w:jc w:val="left"/>
              <w:rPr>
                <w:b/>
                <w:color w:val="000000" w:themeColor="text1"/>
              </w:rPr>
            </w:pPr>
            <w:r>
              <w:rPr>
                <w:rFonts w:ascii="宋体" w:hAnsi="宋体"/>
                <w:b/>
                <w:color w:val="000000" w:themeColor="text1"/>
              </w:rPr>
              <w:t>QMS:</w:t>
            </w:r>
            <w:r>
              <w:rPr>
                <w:rFonts w:hint="eastAsia" w:ascii="宋体" w:hAnsi="宋体"/>
                <w:b/>
                <w:color w:val="000000" w:themeColor="text1"/>
              </w:rPr>
              <w:t xml:space="preserve"> </w:t>
            </w:r>
            <w:r>
              <w:rPr>
                <w:sz w:val="20"/>
              </w:rPr>
              <w:t>预拌混凝土的生产和销售</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lang w:eastAsia="zh-CN"/>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sz w:val="26"/>
                <w:szCs w:val="26"/>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sz w:val="26"/>
                <w:szCs w:val="26"/>
                <w:lang w:eastAsia="zh-CN"/>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sz w:val="26"/>
                <w:szCs w:val="26"/>
              </w:rPr>
              <w:t>□</w:t>
            </w:r>
            <w:r>
              <w:rPr>
                <w:rFonts w:hint="eastAsia"/>
                <w:b/>
                <w:color w:val="000000" w:themeColor="text1"/>
                <w:szCs w:val="21"/>
              </w:rPr>
              <w:t xml:space="preserve">EMS   </w:t>
            </w:r>
            <w:r>
              <w:rPr>
                <w:rFonts w:hint="eastAsia"/>
                <w:b/>
                <w:sz w:val="26"/>
                <w:szCs w:val="26"/>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9"/>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天/严重不符合在</w:t>
      </w:r>
      <w:r>
        <w:rPr>
          <w:rFonts w:hint="eastAsia"/>
          <w:b/>
          <w:color w:val="000000" w:themeColor="text1"/>
          <w:u w:val="single"/>
        </w:rPr>
        <w:t>60</w:t>
      </w:r>
      <w:r>
        <w:rPr>
          <w:rFonts w:hint="eastAsia"/>
          <w:b/>
          <w:color w:val="000000" w:themeColor="text1"/>
        </w:rPr>
        <w:t>天，针对不符合原因制定并实施纠正措施。验证方式见不符合项报告。</w:t>
      </w:r>
    </w:p>
    <w:p>
      <w:pPr>
        <w:numPr>
          <w:ilvl w:val="0"/>
          <w:numId w:val="3"/>
        </w:numPr>
        <w:spacing w:before="156" w:beforeLines="50" w:after="156" w:afterLines="50"/>
        <w:ind w:left="62" w:leftChars="-405" w:hanging="912" w:hangingChars="326"/>
        <w:rPr>
          <w:b/>
          <w:color w:val="000000" w:themeColor="text1"/>
          <w:sz w:val="26"/>
          <w:szCs w:val="26"/>
        </w:rPr>
      </w:pPr>
      <w:r>
        <w:rPr>
          <w:rFonts w:hint="eastAsia" w:ascii="仿宋" w:hAnsi="仿宋" w:eastAsia="仿宋" w:cstheme="minorBidi"/>
          <w:color w:val="000000" w:themeColor="text1"/>
          <w:kern w:val="24"/>
          <w:sz w:val="28"/>
          <w:szCs w:val="28"/>
        </w:rPr>
        <w:t>任何影响审核方案的重要事项</w:t>
      </w:r>
      <w:r>
        <w:rPr>
          <w:rFonts w:hint="eastAsia"/>
          <w:b/>
          <w:color w:val="000000" w:themeColor="text1"/>
          <w:sz w:val="26"/>
          <w:szCs w:val="26"/>
        </w:rPr>
        <w:t>：</w:t>
      </w:r>
      <w:r>
        <w:rPr>
          <w:rFonts w:hint="eastAsia"/>
          <w:b/>
          <w:color w:val="000000" w:themeColor="text1"/>
          <w:sz w:val="26"/>
          <w:szCs w:val="26"/>
          <w:lang w:eastAsia="zh-CN"/>
        </w:rPr>
        <w:t>无</w:t>
      </w:r>
    </w:p>
    <w:p>
      <w:pPr>
        <w:spacing w:before="156" w:beforeLines="50" w:after="156" w:afterLines="50"/>
        <w:ind w:left="-1535" w:leftChars="-731" w:firstLine="783" w:firstLineChars="300"/>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rPr>
      </w:pPr>
      <w:r>
        <w:rPr>
          <w:rFonts w:hint="eastAsia"/>
          <w:b/>
          <w:color w:val="000000" w:themeColor="text1"/>
          <w:sz w:val="26"/>
          <w:szCs w:val="26"/>
        </w:rPr>
        <w:t>审核组组长（签名）：</w:t>
      </w:r>
      <w:r>
        <w:drawing>
          <wp:inline distT="0" distB="0" distL="114300" distR="114300">
            <wp:extent cx="904875" cy="396240"/>
            <wp:effectExtent l="0" t="0" r="9525"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904875" cy="396240"/>
                    </a:xfrm>
                    <a:prstGeom prst="rect">
                      <a:avLst/>
                    </a:prstGeom>
                    <a:noFill/>
                    <a:ln>
                      <a:noFill/>
                    </a:ln>
                  </pic:spPr>
                </pic:pic>
              </a:graphicData>
            </a:graphic>
          </wp:inline>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r>
        <w:drawing>
          <wp:inline distT="0" distB="0" distL="114300" distR="114300">
            <wp:extent cx="1069975" cy="284480"/>
            <wp:effectExtent l="0" t="0" r="9525" b="762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7"/>
                    <a:stretch>
                      <a:fillRect/>
                    </a:stretch>
                  </pic:blipFill>
                  <pic:spPr>
                    <a:xfrm>
                      <a:off x="0" y="0"/>
                      <a:ext cx="1069975" cy="284480"/>
                    </a:xfrm>
                    <a:prstGeom prst="rect">
                      <a:avLst/>
                    </a:prstGeom>
                    <a:noFill/>
                    <a:ln>
                      <a:noFill/>
                    </a:ln>
                  </pic:spPr>
                </pic:pic>
              </a:graphicData>
            </a:graphic>
          </wp:inline>
        </w:drawing>
      </w:r>
    </w:p>
    <w:p>
      <w:pPr>
        <w:snapToGrid w:val="0"/>
        <w:spacing w:line="360" w:lineRule="auto"/>
        <w:ind w:firstLine="3080" w:firstLineChars="1461"/>
        <w:rPr>
          <w:b/>
          <w:color w:val="000000" w:themeColor="text1"/>
          <w:sz w:val="16"/>
          <w:szCs w:val="16"/>
        </w:rPr>
      </w:pPr>
      <w:r>
        <w:rPr>
          <w:rFonts w:hint="eastAsia"/>
          <w:b/>
          <w:color w:val="000000" w:themeColor="text1"/>
        </w:rPr>
        <w:t xml:space="preserve">日期 </w:t>
      </w:r>
      <w:r>
        <w:rPr>
          <w:rFonts w:hint="eastAsia"/>
          <w:b/>
          <w:color w:val="000000" w:themeColor="text1"/>
          <w:lang w:eastAsia="zh-CN"/>
        </w:rPr>
        <w:t>：</w:t>
      </w:r>
      <w:r>
        <w:rPr>
          <w:rFonts w:hint="eastAsia"/>
          <w:b/>
          <w:color w:val="000000" w:themeColor="text1"/>
        </w:rPr>
        <w:t xml:space="preserve"> </w:t>
      </w:r>
      <w:r>
        <w:rPr>
          <w:rFonts w:hint="eastAsia"/>
          <w:b/>
          <w:color w:val="000000" w:themeColor="text1"/>
          <w:lang w:val="en-US" w:eastAsia="zh-CN"/>
        </w:rPr>
        <w:t>2020</w:t>
      </w:r>
      <w:r>
        <w:rPr>
          <w:rFonts w:hint="eastAsia"/>
          <w:b/>
          <w:color w:val="000000" w:themeColor="text1"/>
        </w:rPr>
        <w:t xml:space="preserve">  </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8</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 xml:space="preserve"> 30</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Chars="-202" w:hanging="424" w:hangingChars="201"/>
        <w:rPr>
          <w:rFonts w:hint="eastAsia"/>
          <w:b/>
          <w:bCs/>
          <w:color w:val="000000" w:themeColor="text1"/>
          <w:szCs w:val="21"/>
        </w:rPr>
      </w:pPr>
      <w:r>
        <w:rPr>
          <w:rFonts w:hint="eastAsia"/>
          <w:b/>
          <w:bCs/>
          <w:color w:val="000000" w:themeColor="text1"/>
          <w:szCs w:val="21"/>
        </w:rPr>
        <w:t>1.  审核中发现的</w:t>
      </w:r>
      <w:r>
        <w:rPr>
          <w:rFonts w:hint="eastAsia"/>
          <w:b/>
          <w:bCs/>
          <w:color w:val="000000" w:themeColor="text1"/>
          <w:szCs w:val="21"/>
          <w:lang w:eastAsia="zh-CN"/>
        </w:rPr>
        <w:t>□</w:t>
      </w:r>
      <w:r>
        <w:rPr>
          <w:rFonts w:hint="eastAsia"/>
          <w:b/>
          <w:bCs/>
          <w:color w:val="000000" w:themeColor="text1"/>
          <w:szCs w:val="21"/>
        </w:rPr>
        <w:t>QMS( )个一般不符合，( 0 )个严重不符合，</w:t>
      </w:r>
      <w:r>
        <w:rPr>
          <w:rFonts w:hint="eastAsia"/>
          <w:b/>
          <w:bCs/>
          <w:color w:val="000000" w:themeColor="text1"/>
          <w:szCs w:val="21"/>
          <w:lang w:eastAsia="zh-CN"/>
        </w:rPr>
        <w:t>□</w:t>
      </w:r>
      <w:r>
        <w:rPr>
          <w:rFonts w:hint="eastAsia"/>
          <w:b/>
          <w:bCs/>
          <w:color w:val="000000" w:themeColor="text1"/>
          <w:szCs w:val="21"/>
        </w:rPr>
        <w:t>验证合格□仍有问题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 xml:space="preserve">推荐注册      □不推荐注册     </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 xml:space="preserve">组长签字:    </w:t>
      </w:r>
      <w:r>
        <w:drawing>
          <wp:inline distT="0" distB="0" distL="114300" distR="114300">
            <wp:extent cx="904875" cy="396240"/>
            <wp:effectExtent l="0" t="0" r="9525" b="1016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a:stretch>
                      <a:fillRect/>
                    </a:stretch>
                  </pic:blipFill>
                  <pic:spPr>
                    <a:xfrm>
                      <a:off x="0" y="0"/>
                      <a:ext cx="904875" cy="396240"/>
                    </a:xfrm>
                    <a:prstGeom prst="rect">
                      <a:avLst/>
                    </a:prstGeom>
                    <a:noFill/>
                    <a:ln>
                      <a:noFill/>
                    </a:ln>
                  </pic:spPr>
                </pic:pic>
              </a:graphicData>
            </a:graphic>
          </wp:inline>
        </w:drawing>
      </w:r>
      <w:r>
        <w:rPr>
          <w:rFonts w:hint="eastAsia"/>
          <w:b/>
          <w:color w:val="000000" w:themeColor="text1"/>
          <w:szCs w:val="21"/>
        </w:rPr>
        <w:t xml:space="preserve">        日期:    </w:t>
      </w:r>
      <w:r>
        <w:rPr>
          <w:rFonts w:hint="eastAsia"/>
          <w:b/>
          <w:color w:val="000000" w:themeColor="text1"/>
          <w:szCs w:val="21"/>
          <w:lang w:val="en-US" w:eastAsia="zh-CN"/>
        </w:rPr>
        <w:t>2020</w:t>
      </w:r>
      <w:r>
        <w:rPr>
          <w:rFonts w:hint="eastAsia"/>
          <w:b/>
          <w:color w:val="000000" w:themeColor="text1"/>
          <w:szCs w:val="21"/>
        </w:rPr>
        <w:t xml:space="preserve">     年 </w:t>
      </w:r>
      <w:r>
        <w:rPr>
          <w:rFonts w:hint="eastAsia"/>
          <w:b/>
          <w:color w:val="000000" w:themeColor="text1"/>
          <w:szCs w:val="21"/>
          <w:lang w:val="en-US" w:eastAsia="zh-CN"/>
        </w:rPr>
        <w:t>8</w:t>
      </w:r>
      <w:r>
        <w:rPr>
          <w:rFonts w:hint="eastAsia"/>
          <w:b/>
          <w:color w:val="000000" w:themeColor="text1"/>
          <w:szCs w:val="21"/>
        </w:rPr>
        <w:t>月</w:t>
      </w:r>
      <w:r>
        <w:rPr>
          <w:rFonts w:hint="eastAsia"/>
          <w:b/>
          <w:color w:val="000000" w:themeColor="text1"/>
          <w:szCs w:val="21"/>
          <w:lang w:val="en-US" w:eastAsia="zh-CN"/>
        </w:rPr>
        <w:t>30</w:t>
      </w:r>
      <w:r>
        <w:rPr>
          <w:rFonts w:hint="eastAsia"/>
          <w:b/>
          <w:color w:val="000000" w:themeColor="text1"/>
          <w:szCs w:val="21"/>
        </w:rPr>
        <w:t xml:space="preserve"> 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u w:val="single"/>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240" w:lineRule="atLeast"/>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240" w:lineRule="atLeast"/>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240" w:lineRule="atLeast"/>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240" w:lineRule="atLeast"/>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240" w:lineRule="atLeast"/>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240" w:lineRule="atLeast"/>
        <w:ind w:left="-144" w:leftChars="-405" w:hanging="706" w:hangingChars="335"/>
        <w:rPr>
          <w:b/>
          <w:bCs/>
          <w:color w:val="000000" w:themeColor="text1"/>
          <w:szCs w:val="21"/>
        </w:rPr>
      </w:pPr>
      <w:r>
        <w:rPr>
          <w:rFonts w:hint="eastAsia"/>
          <w:b/>
          <w:bCs/>
          <w:color w:val="000000" w:themeColor="text1"/>
          <w:szCs w:val="21"/>
        </w:rPr>
        <w:t>6. 对同时申请CNAS标志证书的组织，应注意两种证书的注册范围可能不同。</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pPr>
    <w:bookmarkStart w:id="8" w:name="_Hlk8555230"/>
    <w:r>
      <w:pict>
        <v:shape id="_x0000_s2049" o:spid="_x0000_s2049" o:spt="202" type="#_x0000_t202" style="position:absolute;left:0pt;margin-left:249.35pt;margin-top:5.25pt;height:20.2pt;width:164.1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bookmarkEnd w:id="8"/>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87E232"/>
    <w:multiLevelType w:val="singleLevel"/>
    <w:tmpl w:val="C487E232"/>
    <w:lvl w:ilvl="0" w:tentative="0">
      <w:start w:val="13"/>
      <w:numFmt w:val="chineseCounting"/>
      <w:suff w:val="space"/>
      <w:lvlText w:val="%1、"/>
      <w:lvlJc w:val="left"/>
      <w:rPr>
        <w:rFonts w:hint="eastAsia"/>
      </w:rPr>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8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247CC"/>
    <w:rsid w:val="000443F0"/>
    <w:rsid w:val="00075C70"/>
    <w:rsid w:val="0008517E"/>
    <w:rsid w:val="000C0B81"/>
    <w:rsid w:val="000E12C6"/>
    <w:rsid w:val="000F2F8F"/>
    <w:rsid w:val="001554EF"/>
    <w:rsid w:val="00197C64"/>
    <w:rsid w:val="001C6236"/>
    <w:rsid w:val="001D445E"/>
    <w:rsid w:val="001D5696"/>
    <w:rsid w:val="00250BBA"/>
    <w:rsid w:val="002B120A"/>
    <w:rsid w:val="002B6816"/>
    <w:rsid w:val="002C24DB"/>
    <w:rsid w:val="002D1483"/>
    <w:rsid w:val="002F549E"/>
    <w:rsid w:val="00304003"/>
    <w:rsid w:val="00341103"/>
    <w:rsid w:val="00373391"/>
    <w:rsid w:val="00376915"/>
    <w:rsid w:val="003E3D4F"/>
    <w:rsid w:val="003F74C1"/>
    <w:rsid w:val="004100EA"/>
    <w:rsid w:val="00464786"/>
    <w:rsid w:val="00484B0B"/>
    <w:rsid w:val="004C1602"/>
    <w:rsid w:val="004D3E71"/>
    <w:rsid w:val="004E1F91"/>
    <w:rsid w:val="005164BD"/>
    <w:rsid w:val="0054650A"/>
    <w:rsid w:val="00584F23"/>
    <w:rsid w:val="00592421"/>
    <w:rsid w:val="005B46F0"/>
    <w:rsid w:val="005B675E"/>
    <w:rsid w:val="005E1CBB"/>
    <w:rsid w:val="00603285"/>
    <w:rsid w:val="00610FA8"/>
    <w:rsid w:val="006306D9"/>
    <w:rsid w:val="00632A83"/>
    <w:rsid w:val="0063633F"/>
    <w:rsid w:val="00664382"/>
    <w:rsid w:val="006C6F24"/>
    <w:rsid w:val="006F2EE3"/>
    <w:rsid w:val="00712F52"/>
    <w:rsid w:val="00770469"/>
    <w:rsid w:val="00775D3A"/>
    <w:rsid w:val="00784CC6"/>
    <w:rsid w:val="007C4DD7"/>
    <w:rsid w:val="008030AC"/>
    <w:rsid w:val="00845D78"/>
    <w:rsid w:val="00850E86"/>
    <w:rsid w:val="00853D8C"/>
    <w:rsid w:val="00857EF7"/>
    <w:rsid w:val="008648E8"/>
    <w:rsid w:val="00877EB8"/>
    <w:rsid w:val="008A6929"/>
    <w:rsid w:val="008B07CC"/>
    <w:rsid w:val="009203AC"/>
    <w:rsid w:val="009251B2"/>
    <w:rsid w:val="00925F99"/>
    <w:rsid w:val="0092740B"/>
    <w:rsid w:val="00932B07"/>
    <w:rsid w:val="00986C4E"/>
    <w:rsid w:val="009958FB"/>
    <w:rsid w:val="009A7BA8"/>
    <w:rsid w:val="009E496A"/>
    <w:rsid w:val="009E741A"/>
    <w:rsid w:val="00A02276"/>
    <w:rsid w:val="00A03565"/>
    <w:rsid w:val="00A057D9"/>
    <w:rsid w:val="00A112DB"/>
    <w:rsid w:val="00AB1797"/>
    <w:rsid w:val="00AB688A"/>
    <w:rsid w:val="00AC3F5D"/>
    <w:rsid w:val="00AE71F3"/>
    <w:rsid w:val="00AF66F6"/>
    <w:rsid w:val="00B1795A"/>
    <w:rsid w:val="00B34573"/>
    <w:rsid w:val="00BC3244"/>
    <w:rsid w:val="00BD2793"/>
    <w:rsid w:val="00C634D9"/>
    <w:rsid w:val="00C757A7"/>
    <w:rsid w:val="00D00BA6"/>
    <w:rsid w:val="00D1113C"/>
    <w:rsid w:val="00D40E52"/>
    <w:rsid w:val="00DD2268"/>
    <w:rsid w:val="00E148C5"/>
    <w:rsid w:val="00E23DA1"/>
    <w:rsid w:val="00E255D2"/>
    <w:rsid w:val="00E26B38"/>
    <w:rsid w:val="00E32B36"/>
    <w:rsid w:val="00E9214A"/>
    <w:rsid w:val="00EA2C78"/>
    <w:rsid w:val="00EA59F3"/>
    <w:rsid w:val="00EF0F10"/>
    <w:rsid w:val="00EF1481"/>
    <w:rsid w:val="00F326DC"/>
    <w:rsid w:val="00F553BA"/>
    <w:rsid w:val="00F64301"/>
    <w:rsid w:val="00F86288"/>
    <w:rsid w:val="00FA5C98"/>
    <w:rsid w:val="00FD38F7"/>
    <w:rsid w:val="00FF14F7"/>
    <w:rsid w:val="00FF6078"/>
    <w:rsid w:val="0275247F"/>
    <w:rsid w:val="06F27F2D"/>
    <w:rsid w:val="07824840"/>
    <w:rsid w:val="07A84CB2"/>
    <w:rsid w:val="089E2646"/>
    <w:rsid w:val="0AE52265"/>
    <w:rsid w:val="0CC7527B"/>
    <w:rsid w:val="0E897B29"/>
    <w:rsid w:val="0EB36807"/>
    <w:rsid w:val="0FB74A65"/>
    <w:rsid w:val="10E854AA"/>
    <w:rsid w:val="1198680D"/>
    <w:rsid w:val="126F7B51"/>
    <w:rsid w:val="14D43C90"/>
    <w:rsid w:val="14DB0987"/>
    <w:rsid w:val="18C26746"/>
    <w:rsid w:val="1974056C"/>
    <w:rsid w:val="1ABB01D3"/>
    <w:rsid w:val="1ACD62B8"/>
    <w:rsid w:val="1B4F1B57"/>
    <w:rsid w:val="1C440198"/>
    <w:rsid w:val="1C5F0C83"/>
    <w:rsid w:val="1DCB178B"/>
    <w:rsid w:val="1E40289E"/>
    <w:rsid w:val="1F520E03"/>
    <w:rsid w:val="21143095"/>
    <w:rsid w:val="21611269"/>
    <w:rsid w:val="218A16F9"/>
    <w:rsid w:val="23782E05"/>
    <w:rsid w:val="25CD1223"/>
    <w:rsid w:val="27D94066"/>
    <w:rsid w:val="2D661B74"/>
    <w:rsid w:val="2F1239C1"/>
    <w:rsid w:val="32081D79"/>
    <w:rsid w:val="32C1463B"/>
    <w:rsid w:val="34265884"/>
    <w:rsid w:val="36EC7F03"/>
    <w:rsid w:val="3B860344"/>
    <w:rsid w:val="3C191EA6"/>
    <w:rsid w:val="3C6210A8"/>
    <w:rsid w:val="3CD41D33"/>
    <w:rsid w:val="3D1277C5"/>
    <w:rsid w:val="3EB10809"/>
    <w:rsid w:val="401450D1"/>
    <w:rsid w:val="416863AC"/>
    <w:rsid w:val="4292115D"/>
    <w:rsid w:val="432329ED"/>
    <w:rsid w:val="43380ADB"/>
    <w:rsid w:val="455B7DE8"/>
    <w:rsid w:val="46736188"/>
    <w:rsid w:val="469452FC"/>
    <w:rsid w:val="48212822"/>
    <w:rsid w:val="4916731F"/>
    <w:rsid w:val="49C82B1C"/>
    <w:rsid w:val="49D96455"/>
    <w:rsid w:val="49FA7342"/>
    <w:rsid w:val="4B173D3E"/>
    <w:rsid w:val="4B4A3A22"/>
    <w:rsid w:val="50EE18EE"/>
    <w:rsid w:val="52DE1104"/>
    <w:rsid w:val="5C0F099A"/>
    <w:rsid w:val="5CDD1C2D"/>
    <w:rsid w:val="5EC62EB7"/>
    <w:rsid w:val="5FD65205"/>
    <w:rsid w:val="61A2120B"/>
    <w:rsid w:val="63360944"/>
    <w:rsid w:val="63E122A7"/>
    <w:rsid w:val="653F2CB5"/>
    <w:rsid w:val="673B259B"/>
    <w:rsid w:val="67614AEF"/>
    <w:rsid w:val="67C53D83"/>
    <w:rsid w:val="694049C3"/>
    <w:rsid w:val="69DE7923"/>
    <w:rsid w:val="6A1418BC"/>
    <w:rsid w:val="6BCE5F42"/>
    <w:rsid w:val="6D1A2693"/>
    <w:rsid w:val="6F5B59DC"/>
    <w:rsid w:val="6FF56C95"/>
    <w:rsid w:val="712A343D"/>
    <w:rsid w:val="73226B9D"/>
    <w:rsid w:val="76883B29"/>
    <w:rsid w:val="780960F1"/>
    <w:rsid w:val="780F0F53"/>
    <w:rsid w:val="797616D8"/>
    <w:rsid w:val="7A8D55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4">
    <w:name w:val="heading 3"/>
    <w:basedOn w:val="1"/>
    <w:next w:val="1"/>
    <w:qFormat/>
    <w:uiPriority w:val="0"/>
    <w:pPr>
      <w:keepNext/>
      <w:keepLines/>
      <w:adjustRightInd w:val="0"/>
      <w:spacing w:before="260" w:after="260" w:line="416" w:lineRule="atLeast"/>
      <w:textAlignment w:val="baseline"/>
      <w:outlineLvl w:val="2"/>
    </w:pPr>
    <w:rPr>
      <w:b/>
      <w:bCs/>
      <w:kern w:val="0"/>
      <w:sz w:val="28"/>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5">
    <w:name w:val="Plain Text"/>
    <w:basedOn w:val="1"/>
    <w:qFormat/>
    <w:uiPriority w:val="0"/>
    <w:pPr>
      <w:jc w:val="both"/>
    </w:pPr>
    <w:rPr>
      <w:rFonts w:ascii="宋体" w:hAnsi="Courier New" w:eastAsia="宋体"/>
      <w:szCs w:val="24"/>
    </w:rPr>
  </w:style>
  <w:style w:type="paragraph" w:styleId="6">
    <w:name w:val="Balloon Text"/>
    <w:basedOn w:val="1"/>
    <w:link w:val="17"/>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Char"/>
    <w:basedOn w:val="12"/>
    <w:link w:val="8"/>
    <w:semiHidden/>
    <w:qFormat/>
    <w:uiPriority w:val="99"/>
    <w:rPr>
      <w:rFonts w:ascii="Times New Roman" w:hAnsi="Times New Roman" w:eastAsia="宋体" w:cs="Times New Roman"/>
      <w:sz w:val="18"/>
      <w:szCs w:val="18"/>
    </w:rPr>
  </w:style>
  <w:style w:type="character" w:customStyle="1" w:styleId="16">
    <w:name w:val="页脚 Char"/>
    <w:basedOn w:val="12"/>
    <w:link w:val="7"/>
    <w:qFormat/>
    <w:uiPriority w:val="99"/>
    <w:rPr>
      <w:rFonts w:ascii="Times New Roman" w:hAnsi="Times New Roman" w:eastAsia="宋体" w:cs="Times New Roman"/>
      <w:sz w:val="18"/>
      <w:szCs w:val="18"/>
    </w:rPr>
  </w:style>
  <w:style w:type="character" w:customStyle="1" w:styleId="17">
    <w:name w:val="批注框文本 Char"/>
    <w:basedOn w:val="12"/>
    <w:link w:val="6"/>
    <w:semiHidden/>
    <w:qFormat/>
    <w:uiPriority w:val="99"/>
    <w:rPr>
      <w:rFonts w:ascii="Times New Roman" w:hAnsi="Times New Roman" w:eastAsia="宋体" w:cs="Times New Roman"/>
      <w:sz w:val="18"/>
      <w:szCs w:val="18"/>
    </w:rPr>
  </w:style>
  <w:style w:type="character" w:customStyle="1" w:styleId="18">
    <w:name w:val="页眉 Char1"/>
    <w:basedOn w:val="12"/>
    <w:qFormat/>
    <w:uiPriority w:val="99"/>
    <w:rPr>
      <w:rFonts w:ascii="Times New Roman" w:hAnsi="Times New Roman" w:eastAsia="宋体" w:cs="Times New Roman"/>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列出段落1"/>
    <w:basedOn w:val="1"/>
    <w:qFormat/>
    <w:uiPriority w:val="34"/>
    <w:pPr>
      <w:ind w:firstLine="420" w:firstLineChars="200"/>
    </w:pPr>
  </w:style>
  <w:style w:type="paragraph" w:customStyle="1" w:styleId="21">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1369</Words>
  <Characters>7805</Characters>
  <Lines>1</Lines>
  <Paragraphs>1</Paragraphs>
  <TotalTime>4</TotalTime>
  <ScaleCrop>false</ScaleCrop>
  <LinksUpToDate>false</LinksUpToDate>
  <CharactersWithSpaces>9156</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dcterms:modified xsi:type="dcterms:W3CDTF">2020-08-31T16:20:25Z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