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云南欧尚邦顿科技有限公司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云南欧尚邦顿科技有限公司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云南省昆明经开区出口加工区第三城映象欣城B2幢11层1101室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云南省昆明经开区出口加工区第三城映象欣城B2幢11层1101室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贾晓东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15925186272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贾晓东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Q：仪器仪表及配件的销售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E：仪器仪表及配件的销售及相关环境管理活动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O：仪器仪表及配件的销售及相关职业健康安全管理活动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w:t>
            </w:r>
          </w:p>
          <w:p>
            <w:pPr>
              <w:spacing w:line="320" w:lineRule="exact"/>
              <w:rPr>
                <w:rFonts w:ascii="宋体" w:hAnsi="宋体"/>
                <w:b/>
                <w:color w:val="000000" w:themeColor="text1"/>
                <w:sz w:val="20"/>
                <w:szCs w:val="20"/>
              </w:rPr>
            </w:pPr>
            <w:r>
              <w:rPr>
                <w:rFonts w:ascii="宋体" w:hAnsi="宋体"/>
                <w:b/>
                <w:color w:val="000000" w:themeColor="text1"/>
                <w:sz w:val="20"/>
                <w:szCs w:val="20"/>
              </w:rPr>
              <w:t>E：29.10.07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kern w:val="2"/>
                <w:sz w:val="21"/>
                <w:szCs w:val="21"/>
                <w:lang w:val="en-US" w:eastAsia="zh-CN" w:bidi="ar"/>
              </w:rPr>
              <w:t>综合部（含财务）</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2"/>
                <w:sz w:val="21"/>
                <w:szCs w:val="21"/>
                <w:lang w:val="en-US" w:eastAsia="zh-CN" w:bidi="ar"/>
              </w:rPr>
              <w:t>目标管理方案,与管理过程控制；人力资源；文件记录控制；内外部信息交流过程；内审管理、与顾客有关的要求、评审变更及顾客满意，质量、环境职业健康安全管理</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2"/>
                <w:sz w:val="21"/>
                <w:szCs w:val="21"/>
                <w:lang w:val="en-US" w:eastAsia="zh-CN" w:bidi="ar"/>
              </w:rPr>
              <w:t>Q: 5.3/6.1/6.2/7.1.2/7.1.6/7.2/7.3/7.4/7.5/9.2</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2"/>
                <w:sz w:val="21"/>
                <w:szCs w:val="21"/>
                <w:lang w:val="en-US" w:eastAsia="zh-CN" w:bidi="ar"/>
              </w:rPr>
              <w:t>E: 5.3/7.2/7.3/7.4/7.5/8.1/8.2/9.1.1/9.2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kern w:val="2"/>
                <w:sz w:val="21"/>
                <w:szCs w:val="21"/>
                <w:lang w:val="en-US" w:eastAsia="zh-CN" w:bidi="ar"/>
              </w:rPr>
              <w:t>O: 5.3/5.4/6.1/6.2/7.2/7.3/7.4/7.5/8.2/9.2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color w:val="auto"/>
                <w:kern w:val="2"/>
                <w:sz w:val="21"/>
                <w:szCs w:val="21"/>
                <w:lang w:val="en-US" w:eastAsia="zh-CN" w:bidi="ar"/>
              </w:rPr>
              <w:t>销售部</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策划、实施、放行、交付、与</w:t>
            </w:r>
            <w:r>
              <w:rPr>
                <w:rFonts w:hint="eastAsia" w:asciiTheme="minorEastAsia" w:hAnsiTheme="minorEastAsia" w:eastAsiaTheme="minorEastAsia" w:cstheme="minorEastAsia"/>
                <w:kern w:val="2"/>
                <w:sz w:val="21"/>
                <w:szCs w:val="21"/>
                <w:lang w:val="en-US" w:eastAsia="zh-CN" w:bidi="ar"/>
              </w:rPr>
              <w:t>供方\客户</w:t>
            </w:r>
            <w:r>
              <w:rPr>
                <w:rFonts w:hint="eastAsia" w:asciiTheme="minorEastAsia" w:hAnsiTheme="minorEastAsia" w:eastAsiaTheme="minorEastAsia" w:cstheme="minorEastAsia"/>
                <w:color w:val="auto"/>
                <w:kern w:val="2"/>
                <w:sz w:val="21"/>
                <w:szCs w:val="21"/>
                <w:lang w:val="en-US" w:eastAsia="zh-CN" w:bidi="ar"/>
              </w:rPr>
              <w:t>有关的质量、环境、安全职业健康安全管理活动安全运行控制</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2"/>
                <w:sz w:val="21"/>
                <w:szCs w:val="21"/>
                <w:lang w:val="en-US" w:eastAsia="zh-CN" w:bidi="ar"/>
              </w:rPr>
              <w:t>Q:5.3/6.2/8.1/8.2/8.4/8.5/8.6/8.7/9.1.2/9.1.3/10.2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color w:val="auto"/>
                <w:kern w:val="2"/>
                <w:sz w:val="21"/>
                <w:szCs w:val="21"/>
                <w:lang w:val="en-US" w:eastAsia="zh-CN" w:bidi="ar"/>
              </w:rPr>
              <w:t>EO: 5.3（5.4）/6.2/7.5/8.1/8.2/9.1/10.2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color w:val="auto"/>
                <w:kern w:val="2"/>
                <w:sz w:val="21"/>
                <w:szCs w:val="21"/>
                <w:lang w:val="en-US" w:eastAsia="zh-CN" w:bidi="ar"/>
              </w:rPr>
              <w:t>管理层</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2"/>
                <w:sz w:val="21"/>
                <w:szCs w:val="21"/>
                <w:lang w:val="en-US" w:eastAsia="zh-CN" w:bidi="ar"/>
              </w:rPr>
              <w:t>与管理层有关的质量、环境、安全职业健康安全管理活动</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2"/>
                <w:sz w:val="21"/>
                <w:szCs w:val="21"/>
                <w:lang w:val="en-US" w:eastAsia="zh-CN" w:bidi="ar"/>
              </w:rPr>
              <w:t>Q:4.1/4.2/4.3/4.4/5.1/5.2/5.3/6.1/6.2/6.3/7.1/9.1.1/9.3/10.1/10.3;</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EO:4.1/4.2/4.3/4.4/5.1/5.2/5.3（5.4）/6.1.1/</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2"/>
                <w:sz w:val="21"/>
                <w:szCs w:val="21"/>
                <w:lang w:val="en-US" w:eastAsia="zh-CN" w:bidi="ar"/>
              </w:rPr>
              <w:t>6.1.4/6.2/7.1/9.3/10.1/10.3</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color w:val="auto"/>
                <w:kern w:val="2"/>
                <w:sz w:val="21"/>
                <w:szCs w:val="21"/>
                <w:lang w:val="en-US" w:eastAsia="zh-CN" w:bidi="ar"/>
              </w:rPr>
              <w:t>资质验证/范围再确认/一阶段问题验证/投诉或事故/政府主管部门监督抽查情况。</w:t>
            </w:r>
            <w:r>
              <w:rPr>
                <w:rFonts w:hint="eastAsia" w:asciiTheme="minorEastAsia" w:hAnsiTheme="minorEastAsia" w:eastAsiaTheme="minorEastAsia" w:cstheme="minorEastAsia"/>
                <w:b/>
                <w:bCs/>
                <w:color w:val="auto"/>
                <w:kern w:val="2"/>
                <w:sz w:val="21"/>
                <w:szCs w:val="21"/>
                <w:lang w:val="en-US" w:eastAsia="zh-CN" w:bidi="ar"/>
              </w:rPr>
              <w:t>Q8.3不适用条款确认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kern w:val="2"/>
                <w:sz w:val="21"/>
                <w:szCs w:val="21"/>
                <w:lang w:val="en-US" w:eastAsia="zh-CN" w:bidi="ar"/>
              </w:rPr>
              <w:t>职安代表</w:t>
            </w:r>
          </w:p>
        </w:tc>
        <w:tc>
          <w:tcPr>
            <w:tcW w:w="6804" w:type="dxa"/>
            <w:vAlign w:val="top"/>
          </w:tcPr>
          <w:p>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2"/>
                <w:sz w:val="21"/>
                <w:szCs w:val="21"/>
                <w:lang w:val="en-US" w:eastAsia="zh-CN" w:bidi="ar"/>
              </w:rPr>
              <w:t>职业健康安全事务代表的参与情况</w:t>
            </w:r>
          </w:p>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pacing w:val="-20"/>
                <w:sz w:val="20"/>
                <w:szCs w:val="20"/>
                <w:u w:val="single"/>
              </w:rPr>
            </w:pPr>
            <w:r>
              <w:rPr>
                <w:rFonts w:hint="eastAsia" w:asciiTheme="minorEastAsia" w:hAnsiTheme="minorEastAsia" w:eastAsiaTheme="minorEastAsia" w:cstheme="minorEastAsia"/>
                <w:kern w:val="2"/>
                <w:sz w:val="21"/>
                <w:szCs w:val="21"/>
                <w:lang w:val="en-US" w:eastAsia="zh-CN" w:bidi="ar"/>
              </w:rPr>
              <w:t>O：5.3/5.4/7.4</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975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664"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09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64" w:type="dxa"/>
          </w:tcPr>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Q：仪器仪表及配件的销售</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E：仪器仪表及配件的销售及相关环境管理活动</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O：仪器仪表及配件的销售及相关职业健康安全管理活动</w:t>
            </w:r>
          </w:p>
          <w:p>
            <w:pPr>
              <w:rPr>
                <w:rFonts w:hint="eastAsia" w:asciiTheme="minorEastAsia" w:hAnsiTheme="minorEastAsia" w:eastAsiaTheme="minorEastAsia" w:cstheme="minorEastAsia"/>
                <w:color w:val="auto"/>
                <w:sz w:val="21"/>
                <w:szCs w:val="21"/>
                <w:lang w:val="en-US" w:eastAsia="zh-CN"/>
              </w:rPr>
            </w:pPr>
          </w:p>
        </w:tc>
        <w:tc>
          <w:tcPr>
            <w:tcW w:w="6095"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HYPERLINK "http://www.bzxzk.net/gjbz/27062014/132284.html" \t "http://www.bzxzk.net/e/search/result/_blank" </w:instrText>
            </w:r>
            <w:r>
              <w:rPr>
                <w:rFonts w:hint="eastAsia" w:asciiTheme="minorEastAsia" w:hAnsiTheme="minorEastAsia" w:eastAsiaTheme="minorEastAsia" w:cstheme="minorEastAsia"/>
                <w:color w:val="auto"/>
                <w:sz w:val="21"/>
                <w:szCs w:val="21"/>
                <w:lang w:val="en-US" w:eastAsia="zh-CN"/>
              </w:rPr>
              <w:fldChar w:fldCharType="separate"/>
            </w:r>
            <w:r>
              <w:rPr>
                <w:rFonts w:hint="default" w:asciiTheme="minorEastAsia" w:hAnsiTheme="minorEastAsia" w:eastAsiaTheme="minorEastAsia" w:cstheme="minorEastAsia"/>
                <w:color w:val="auto"/>
                <w:sz w:val="21"/>
                <w:szCs w:val="21"/>
                <w:lang w:val="en-US" w:eastAsia="zh-CN"/>
              </w:rPr>
              <w:t>GBT2900.90-2012 电工术语 电工电子测量和仪器仪表 各类仪表的特殊术语</w:t>
            </w:r>
            <w:r>
              <w:rPr>
                <w:rFonts w:hint="default" w:asciiTheme="minorEastAsia" w:hAnsiTheme="minorEastAsia" w:eastAsiaTheme="minorEastAsia" w:cstheme="minorEastAsia"/>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fldChar w:fldCharType="begin"/>
            </w:r>
            <w:r>
              <w:rPr>
                <w:rFonts w:hint="default" w:asciiTheme="minorEastAsia" w:hAnsiTheme="minorEastAsia" w:eastAsiaTheme="minorEastAsia" w:cstheme="minorEastAsia"/>
                <w:color w:val="auto"/>
                <w:sz w:val="21"/>
                <w:szCs w:val="21"/>
                <w:lang w:val="en-US" w:eastAsia="zh-CN"/>
              </w:rPr>
              <w:instrText xml:space="preserve"> HYPERLINK "http://www.bzxzk.net/gjbz/01032014/127207.html" \t "http://www.bzxzk.net/e/search/result/_blank" </w:instrText>
            </w:r>
            <w:r>
              <w:rPr>
                <w:rFonts w:hint="default" w:asciiTheme="minorEastAsia" w:hAnsiTheme="minorEastAsia" w:eastAsiaTheme="minorEastAsia" w:cstheme="minorEastAsia"/>
                <w:color w:val="auto"/>
                <w:sz w:val="21"/>
                <w:szCs w:val="21"/>
                <w:lang w:val="en-US" w:eastAsia="zh-CN"/>
              </w:rPr>
              <w:fldChar w:fldCharType="separate"/>
            </w:r>
            <w:r>
              <w:rPr>
                <w:rFonts w:hint="default" w:asciiTheme="minorEastAsia" w:hAnsiTheme="minorEastAsia" w:eastAsiaTheme="minorEastAsia" w:cstheme="minorEastAsia"/>
                <w:color w:val="auto"/>
                <w:sz w:val="21"/>
                <w:szCs w:val="21"/>
                <w:lang w:val="en-US" w:eastAsia="zh-CN"/>
              </w:rPr>
              <w:t>GBT28879-2012 电工仪器仪表产品型号编制方法</w:t>
            </w:r>
            <w:r>
              <w:rPr>
                <w:rFonts w:hint="default" w:asciiTheme="minorEastAsia" w:hAnsiTheme="minorEastAsia" w:eastAsiaTheme="minorEastAsia" w:cstheme="minorEastAsia"/>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中华人民共和物权法、中华人民共和国合同法、中华人民共和国产品质量法、中华人民共和国消费者权益保护法、中华人民共和国专利法、中华人民共和国商标法、中华人民共和国广告法、中华人民共和国反不正当竞争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64" w:type="dxa"/>
          </w:tcPr>
          <w:p>
            <w:pPr>
              <w:rPr>
                <w:b/>
                <w:color w:val="000000" w:themeColor="text1"/>
                <w:sz w:val="20"/>
                <w:szCs w:val="20"/>
              </w:rPr>
            </w:pPr>
          </w:p>
        </w:tc>
        <w:tc>
          <w:tcPr>
            <w:tcW w:w="6095"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rPr>
        <w:t>20</w:t>
      </w:r>
      <w:r>
        <w:t>20</w:t>
      </w:r>
      <w:r>
        <w:rPr>
          <w:rFonts w:hint="eastAsia"/>
        </w:rPr>
        <w:t>年</w:t>
      </w:r>
      <w:r>
        <w:t>03</w:t>
      </w:r>
      <w:r>
        <w:rPr>
          <w:rFonts w:hint="eastAsia"/>
        </w:rPr>
        <w:t>月10日</w:t>
      </w:r>
      <w:r>
        <w:rPr>
          <w:rFonts w:hint="eastAsia"/>
          <w:b/>
          <w:color w:val="000000" w:themeColor="text1"/>
          <w:spacing w:val="-10"/>
          <w:szCs w:val="21"/>
        </w:rPr>
        <w:t>至</w:t>
      </w:r>
      <w:r>
        <w:rPr>
          <w:rFonts w:hint="eastAsia"/>
          <w:b/>
          <w:color w:val="000000" w:themeColor="text1"/>
          <w:spacing w:val="-10"/>
          <w:szCs w:val="21"/>
          <w:lang w:val="en-US" w:eastAsia="zh-CN"/>
        </w:rPr>
        <w:t>2020年8月28日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ascii="Arial" w:hAnsi="Arial" w:cs="Arial"/>
              </w:rPr>
            </w:pPr>
            <w:r>
              <w:rPr>
                <w:rFonts w:hint="eastAsia" w:ascii="Arial" w:hAnsi="Arial" w:cs="Arial"/>
              </w:rPr>
              <w:t>云南欧尚邦顿科技有限公司成立于201</w:t>
            </w:r>
            <w:r>
              <w:rPr>
                <w:rFonts w:ascii="Arial" w:hAnsi="Arial" w:cs="Arial"/>
              </w:rPr>
              <w:t>0</w:t>
            </w:r>
            <w:r>
              <w:rPr>
                <w:rFonts w:hint="eastAsia" w:ascii="Arial" w:hAnsi="Arial" w:cs="Arial"/>
              </w:rPr>
              <w:t xml:space="preserve"> 年</w:t>
            </w:r>
            <w:r>
              <w:rPr>
                <w:rFonts w:ascii="Arial" w:hAnsi="Arial" w:cs="Arial"/>
              </w:rPr>
              <w:t>11</w:t>
            </w:r>
            <w:r>
              <w:rPr>
                <w:rFonts w:hint="eastAsia" w:ascii="Arial" w:hAnsi="Arial" w:cs="Arial"/>
              </w:rPr>
              <w:t>月</w:t>
            </w:r>
            <w:r>
              <w:rPr>
                <w:rFonts w:ascii="Arial" w:hAnsi="Arial" w:cs="Arial"/>
              </w:rPr>
              <w:t>09</w:t>
            </w:r>
            <w:r>
              <w:rPr>
                <w:rFonts w:hint="eastAsia" w:ascii="Arial" w:hAnsi="Arial" w:cs="Arial"/>
              </w:rPr>
              <w:t>日，营业期限：2010 年11月09日-长期，注册资金：1</w:t>
            </w:r>
            <w:r>
              <w:rPr>
                <w:rFonts w:ascii="Arial" w:hAnsi="Arial" w:cs="Arial"/>
              </w:rPr>
              <w:t>10</w:t>
            </w:r>
            <w:r>
              <w:rPr>
                <w:rFonts w:hint="eastAsia" w:ascii="Arial" w:hAnsi="Arial" w:cs="Arial"/>
              </w:rPr>
              <w:t>0万，企业信用代码：9</w:t>
            </w:r>
            <w:r>
              <w:rPr>
                <w:rFonts w:ascii="Arial" w:hAnsi="Arial" w:cs="Arial"/>
              </w:rPr>
              <w:t>15301005631782753</w:t>
            </w:r>
            <w:r>
              <w:rPr>
                <w:rFonts w:hint="eastAsia" w:ascii="Arial" w:hAnsi="Arial" w:cs="Arial"/>
              </w:rPr>
              <w:t>，注册地址：</w:t>
            </w:r>
            <w:r>
              <w:rPr>
                <w:rFonts w:hint="eastAsia" w:ascii="Arial" w:hAnsi="Arial" w:cs="Arial"/>
                <w:bCs/>
              </w:rPr>
              <w:t>云南省昆明经开区信息产业基地拓翔路2</w:t>
            </w:r>
            <w:r>
              <w:rPr>
                <w:rFonts w:ascii="Arial" w:hAnsi="Arial" w:cs="Arial"/>
                <w:bCs/>
              </w:rPr>
              <w:t>05</w:t>
            </w:r>
            <w:r>
              <w:rPr>
                <w:rFonts w:hint="eastAsia" w:ascii="Arial" w:hAnsi="Arial" w:cs="Arial"/>
                <w:bCs/>
              </w:rPr>
              <w:t>号附3号办公楼2层1室</w:t>
            </w:r>
            <w:r>
              <w:rPr>
                <w:rFonts w:hint="eastAsia" w:ascii="Arial" w:hAnsi="Arial" w:cs="Arial"/>
              </w:rPr>
              <w:t>，经营范围包括</w:t>
            </w:r>
            <w:r>
              <w:rPr>
                <w:rFonts w:ascii="Arial" w:hAnsi="Arial" w:cs="Arial"/>
              </w:rPr>
              <w:t>仪器仪表及配件的销售</w:t>
            </w:r>
            <w:r>
              <w:rPr>
                <w:rFonts w:hint="eastAsia" w:ascii="Arial" w:hAnsi="Arial" w:cs="Arial"/>
              </w:rPr>
              <w:t>。</w:t>
            </w:r>
          </w:p>
          <w:p>
            <w:pPr>
              <w:rPr>
                <w:rFonts w:ascii="Arial" w:hAnsi="Arial" w:cs="Arial"/>
              </w:rPr>
            </w:pPr>
            <w:r>
              <w:rPr>
                <w:rFonts w:ascii="Arial" w:hAnsi="Arial" w:cs="Arial"/>
              </w:rPr>
              <w:t> </w:t>
            </w:r>
            <w:r>
              <w:rPr>
                <w:rFonts w:hint="eastAsia" w:ascii="Arial" w:hAnsi="Arial" w:cs="Arial"/>
              </w:rPr>
              <w:t>公司的主要客户群为云南的企业等；公司采用总经理负责制，层层把关，让用户真正放心</w:t>
            </w:r>
          </w:p>
          <w:p>
            <w:pPr>
              <w:rPr>
                <w:rFonts w:ascii="Arial" w:hAnsi="Arial" w:cs="Arial"/>
              </w:rPr>
            </w:pPr>
            <w:r>
              <w:rPr>
                <w:rFonts w:hint="eastAsia" w:ascii="Arial" w:hAnsi="Arial" w:cs="Arial"/>
              </w:rPr>
              <w:t>远程</w:t>
            </w:r>
            <w:r>
              <w:rPr>
                <w:rFonts w:ascii="Arial" w:hAnsi="Arial" w:cs="Arial"/>
              </w:rPr>
              <w:t>见到营业执照，见附件。</w:t>
            </w:r>
          </w:p>
          <w:p>
            <w:pPr>
              <w:pStyle w:val="2"/>
            </w:pPr>
            <w:r>
              <w:rPr>
                <w:rFonts w:hint="eastAsia" w:ascii="Arial" w:hAnsi="Arial" w:cs="Arial"/>
              </w:rPr>
              <w:t>管理手册，实施、发布日期：20</w:t>
            </w:r>
            <w:r>
              <w:rPr>
                <w:rFonts w:ascii="Arial" w:hAnsi="Arial" w:cs="Arial"/>
              </w:rPr>
              <w:t>20.3.20</w:t>
            </w:r>
            <w:r>
              <w:rPr>
                <w:rFonts w:hint="eastAsia" w:ascii="Arial" w:hAnsi="Arial" w:cs="Arial"/>
              </w:rPr>
              <w:t>；远程视频查看，办公区面积约</w:t>
            </w:r>
            <w:r>
              <w:rPr>
                <w:rFonts w:hint="eastAsia" w:ascii="Arial" w:hAnsi="Arial" w:cs="Arial"/>
                <w:lang w:val="en-US" w:eastAsia="zh-CN"/>
              </w:rPr>
              <w:t>100</w:t>
            </w:r>
            <w:r>
              <w:rPr>
                <w:rFonts w:hint="eastAsia" w:ascii="Arial" w:hAnsi="Arial" w:cs="Aria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autoSpaceDE w:val="0"/>
              <w:autoSpaceDN w:val="0"/>
              <w:adjustRightInd w:val="0"/>
              <w:spacing w:line="360" w:lineRule="auto"/>
              <w:rPr>
                <w:rFonts w:ascii="宋体" w:hAnsi="宋体" w:cs="宋体"/>
                <w:szCs w:val="21"/>
              </w:rPr>
            </w:pPr>
            <w:bookmarkStart w:id="20" w:name="_Toc475020125"/>
            <w:bookmarkStart w:id="21" w:name="_Toc475019994"/>
            <w:r>
              <w:rPr>
                <w:rFonts w:hint="eastAsia" w:ascii="宋体" w:hAnsi="宋体" w:cs="宋体"/>
                <w:szCs w:val="21"/>
              </w:rPr>
              <w:t>与质量/环境/职业健康安全管理体系有关的相关方</w:t>
            </w:r>
            <w:bookmarkEnd w:id="20"/>
            <w:bookmarkEnd w:id="21"/>
            <w:r>
              <w:rPr>
                <w:rFonts w:hint="eastAsia" w:ascii="宋体" w:hAnsi="宋体" w:cs="宋体"/>
                <w:szCs w:val="21"/>
              </w:rPr>
              <w:t>；</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rPr>
                <w:rFonts w:ascii="宋体" w:hAnsi="宋体" w:cs="宋体"/>
                <w:szCs w:val="21"/>
              </w:rPr>
            </w:pPr>
            <w:r>
              <w:rPr>
                <w:rFonts w:hint="eastAsia" w:ascii="宋体" w:hAnsi="宋体" w:cs="宋体"/>
                <w:szCs w:val="21"/>
              </w:rPr>
              <w:t>公司对这些相关方及其要求的相关信息进行监视和评审，理解和持续满足相关方的需求和期望。</w:t>
            </w:r>
          </w:p>
          <w:p>
            <w:pPr>
              <w:pStyle w:val="2"/>
              <w:numPr>
                <w:ilvl w:val="0"/>
                <w:numId w:val="0"/>
              </w:numPr>
            </w:pPr>
            <w:r>
              <w:rPr>
                <w:rFonts w:hint="eastAsia"/>
              </w:rPr>
              <w:t>查组织环境分析报告，对客户，供应商、审核机构及政府机构进行了分析。报告日期为20</w:t>
            </w:r>
            <w:r>
              <w:t>20.3</w:t>
            </w:r>
            <w:r>
              <w:rPr>
                <w:rFonts w:hint="eastAsia"/>
              </w:rPr>
              <w:t>.10，编制人为毕永红，审批人为贾晓东。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20" w:firstLineChars="200"/>
              <w:rPr>
                <w:rFonts w:ascii="宋体" w:hAnsi="宋体" w:cs="宋体"/>
                <w:szCs w:val="21"/>
              </w:rPr>
            </w:pPr>
            <w:r>
              <w:rPr>
                <w:rFonts w:hint="eastAsia" w:ascii="宋体" w:hAnsi="宋体" w:cs="宋体"/>
                <w:szCs w:val="21"/>
              </w:rPr>
              <w:t>该公司管理方针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公司以质量、环境、职业健康安全标准为基础，结合公司实际特制定管理方针。与总经理进行交谈，总经理贾晓东对方针内涵的理解较深刻。方针能为制定目标提供框架，方针基本符合标准的要求。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总经理用会议、文件等手段保证管理方针为全体员工理解并落实到工作中。贾晓东总经理说管理评审时对方针的持续适宜性进行了评审，有评审记录。</w:t>
            </w:r>
          </w:p>
          <w:p>
            <w:pPr>
              <w:pStyle w:val="2"/>
              <w:numPr>
                <w:ilvl w:val="0"/>
                <w:numId w:val="0"/>
              </w:numPr>
            </w:pPr>
            <w:r>
              <w:rPr>
                <w:rFonts w:hint="eastAsia" w:ascii="宋体" w:hAnsi="宋体" w:cs="宋体"/>
                <w:szCs w:val="21"/>
              </w:rPr>
              <w:t>以上管理方针通过文件、培训等形式将公司管理方针传达给所有为公司工作或代表公司的人员，相关方也可通过综合部获取公司管理方针。</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r>
              <w:rPr>
                <w:rFonts w:hint="eastAsia"/>
              </w:rPr>
              <w:t>企业识别了</w:t>
            </w:r>
            <w:r>
              <w:rPr>
                <w:rFonts w:hint="eastAsia"/>
                <w:lang w:eastAsia="zh-CN"/>
              </w:rPr>
              <w:t>风险</w:t>
            </w:r>
            <w:r>
              <w:rPr>
                <w:rFonts w:hint="eastAsia"/>
              </w:rPr>
              <w:t>：</w:t>
            </w:r>
          </w:p>
          <w:p>
            <w:r>
              <w:rPr>
                <w:rFonts w:hint="eastAsia"/>
              </w:rPr>
              <w:t>1、政策风险：</w:t>
            </w:r>
          </w:p>
          <w:p>
            <w:r>
              <w:rPr>
                <w:rFonts w:hint="eastAsia"/>
              </w:rPr>
              <w:t>2、资金风险：</w:t>
            </w:r>
          </w:p>
          <w:p>
            <w:r>
              <w:rPr>
                <w:rFonts w:hint="eastAsia"/>
              </w:rPr>
              <w:t>3、技术风险：。</w:t>
            </w:r>
          </w:p>
          <w:p>
            <w:r>
              <w:rPr>
                <w:rFonts w:hint="eastAsia"/>
              </w:rPr>
              <w:t>4、管理风险：</w:t>
            </w:r>
          </w:p>
          <w:p>
            <w:r>
              <w:rPr>
                <w:rFonts w:hint="eastAsia"/>
              </w:rPr>
              <w:t>5、来自市场的风险</w:t>
            </w:r>
          </w:p>
          <w:p>
            <w:r>
              <w:rPr>
                <w:rFonts w:hint="eastAsia"/>
              </w:rPr>
              <w:t>风险评估结论：对于以上涉及到的主要风险，一旦发生，均可能对公司的发展造成巨大损失，所以我们应时刻监视并评价相关环境因素，尽可能的规避风险或降低发生概率。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900"/>
              </w:tabs>
              <w:spacing w:line="360" w:lineRule="auto"/>
              <w:jc w:val="left"/>
              <w:rPr>
                <w:rFonts w:hint="eastAsia" w:asciiTheme="minorEastAsia" w:hAnsiTheme="minorEastAsia" w:eastAsiaTheme="minorEastAsia" w:cstheme="minorEastAsia"/>
                <w:bCs/>
                <w:color w:val="auto"/>
                <w:sz w:val="21"/>
                <w:szCs w:val="21"/>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b/>
                <w:bCs/>
                <w:color w:val="auto"/>
                <w:sz w:val="21"/>
                <w:szCs w:val="21"/>
              </w:rPr>
              <w:t>销售流程</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
                <w:color w:val="auto"/>
                <w:sz w:val="21"/>
                <w:szCs w:val="21"/>
              </w:rPr>
              <w:t>客户接触----合同评审----签订合同-----客户付款------入帐------采购-----客户提货-----验收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eastAsia="zh-CN"/>
              </w:rPr>
              <w:t>需确认过程：销售服务</w:t>
            </w:r>
            <w:bookmarkStart w:id="23" w:name="_GoBack"/>
            <w:r>
              <w:rPr>
                <w:rFonts w:hint="eastAsia" w:asciiTheme="minorEastAsia" w:hAnsiTheme="minorEastAsia" w:eastAsiaTheme="minorEastAsia" w:cstheme="minorEastAsia"/>
                <w:color w:val="auto"/>
                <w:sz w:val="21"/>
                <w:szCs w:val="21"/>
                <w:lang w:val="zh-CN" w:eastAsia="zh-CN"/>
              </w:rPr>
              <w:t>过程，</w:t>
            </w:r>
            <w:r>
              <w:rPr>
                <w:rFonts w:hint="eastAsia" w:asciiTheme="minorEastAsia" w:hAnsiTheme="minorEastAsia" w:eastAsiaTheme="minorEastAsia" w:cstheme="minorEastAsia"/>
                <w:color w:val="auto"/>
                <w:sz w:val="21"/>
                <w:szCs w:val="21"/>
                <w:lang w:val="en-US" w:eastAsia="zh-CN"/>
              </w:rPr>
              <w:t xml:space="preserve">查见《 </w:t>
            </w:r>
            <w:r>
              <w:rPr>
                <w:rFonts w:hint="eastAsia" w:asciiTheme="minorEastAsia" w:hAnsiTheme="minorEastAsia" w:eastAsiaTheme="minorEastAsia" w:cstheme="minorEastAsia"/>
                <w:color w:val="auto"/>
                <w:sz w:val="21"/>
                <w:szCs w:val="21"/>
              </w:rPr>
              <w:t>JL-8.5-01</w:t>
            </w:r>
            <w:r>
              <w:rPr>
                <w:rFonts w:hint="eastAsia" w:asciiTheme="minorEastAsia" w:hAnsiTheme="minorEastAsia" w:eastAsiaTheme="minorEastAsia" w:cstheme="minorEastAsia"/>
                <w:color w:val="auto"/>
                <w:sz w:val="21"/>
                <w:szCs w:val="21"/>
                <w:lang w:val="en-US" w:eastAsia="zh-CN"/>
              </w:rPr>
              <w:t>特殊过程确认表</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rPr>
              <w:t>过程从工作人员能力、设备能力、工作流程等方面进行了确认评价。确认结论：满足要求。确认人：贾晓东 毕永红 王鸷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时间:2020.3.10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该特殊过程自确认后，人员、设备、工作流程没有变更发生，</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再确认的情况。</w:t>
            </w:r>
          </w:p>
          <w:p>
            <w:pPr>
              <w:pStyle w:val="2"/>
              <w:rPr>
                <w:rFonts w:ascii="宋体" w:hAnsi="宋体"/>
                <w:b/>
                <w:color w:val="auto"/>
                <w:sz w:val="20"/>
                <w:szCs w:val="20"/>
                <w:u w:val="single"/>
              </w:rPr>
            </w:pPr>
            <w:r>
              <w:rPr>
                <w:rFonts w:hint="eastAsia" w:ascii="Times New Roman" w:hAnsi="Times New Roman" w:eastAsia="宋体" w:cs="Times New Roman"/>
                <w:color w:val="auto"/>
                <w:szCs w:val="22"/>
                <w:lang w:val="en-US" w:eastAsia="zh-CN"/>
              </w:rPr>
              <w:t>经确认：销售实现过程</w:t>
            </w:r>
            <w:r>
              <w:rPr>
                <w:rFonts w:hint="eastAsia" w:cs="Times New Roman"/>
                <w:color w:val="auto"/>
                <w:szCs w:val="22"/>
                <w:lang w:val="en-US" w:eastAsia="zh-CN"/>
              </w:rPr>
              <w:t>有</w:t>
            </w:r>
            <w:r>
              <w:rPr>
                <w:rFonts w:hint="eastAsia" w:ascii="Times New Roman" w:hAnsi="Times New Roman" w:eastAsia="宋体" w:cs="Times New Roman"/>
                <w:color w:val="auto"/>
                <w:szCs w:val="22"/>
                <w:lang w:val="en-US" w:eastAsia="zh-CN"/>
              </w:rPr>
              <w:t>外</w:t>
            </w:r>
            <w:r>
              <w:rPr>
                <w:rFonts w:hint="eastAsia"/>
                <w:color w:val="auto"/>
                <w:szCs w:val="22"/>
                <w:lang w:val="en-US" w:eastAsia="zh-CN"/>
              </w:rPr>
              <w:t>包过程，见2020 年 2 月 30 日，与上海瑄嘉技术服务中心签订的《技术服务合同》，合同号：QL-XJ-20200230，服务内容:乙方为甲方提供比值分析仪系统售后服务。  服务方式包括:1、现场技术支持；2、电话技术支持、电子邮件技术支持；3、网络远程技术支持；4、软件免费升级等</w:t>
            </w:r>
          </w:p>
          <w:bookmarkEnd w:id="23"/>
          <w:p>
            <w:pPr>
              <w:spacing w:line="440" w:lineRule="exact"/>
              <w:rPr>
                <w:rFonts w:ascii="Arial" w:hAnsi="Arial" w:cs="Arial"/>
                <w:shd w:val="clear" w:color="auto" w:fill="FFFFFF"/>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Q8.3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 </w:t>
            </w:r>
            <w:r>
              <w:rPr>
                <w:rFonts w:hint="eastAsia" w:ascii="Arial" w:hAnsi="Arial" w:cs="Arial"/>
                <w:shd w:val="clear" w:color="auto" w:fill="FFFFFF"/>
              </w:rPr>
              <w:t>根据本公司产品特点，本公司仪器仪表及配件的销售过程不涉及设计开发， 8.3条款不适用，不影响体系运行的实施。不适用8.3条款不影响本公司提供满足客户要求和适用法律法规要求的产品能力或责任的要求。</w:t>
            </w:r>
          </w:p>
          <w:p>
            <w:pPr>
              <w:tabs>
                <w:tab w:val="left" w:pos="540"/>
              </w:tabs>
              <w:spacing w:line="300" w:lineRule="exact"/>
              <w:ind w:left="201" w:hanging="201" w:hangingChars="100"/>
              <w:jc w:val="left"/>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color w:val="auto"/>
                <w:sz w:val="21"/>
                <w:szCs w:val="21"/>
                <w:lang w:val="en-US" w:eastAsia="zh-CN"/>
              </w:rPr>
              <w:t>固废</w:t>
            </w:r>
            <w:r>
              <w:rPr>
                <w:rFonts w:hint="eastAsia" w:asciiTheme="minorEastAsia" w:hAnsiTheme="minorEastAsia" w:eastAsiaTheme="minorEastAsia" w:cstheme="minorEastAsia"/>
                <w:color w:val="auto"/>
                <w:sz w:val="21"/>
                <w:szCs w:val="21"/>
              </w:rPr>
              <w:t>、火灾的发生。评价基本合理。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pStyle w:val="6"/>
              <w:jc w:val="both"/>
            </w:pPr>
            <w:r>
              <w:rPr>
                <w:rFonts w:hint="eastAsia" w:asciiTheme="minorEastAsia" w:hAnsiTheme="minorEastAsia" w:eastAsiaTheme="minorEastAsia" w:cstheme="minorEastAsia"/>
                <w:color w:val="auto"/>
                <w:sz w:val="21"/>
                <w:szCs w:val="21"/>
              </w:rPr>
              <w:t>用LEC法对识别的危险源进行评价，本部门不可接受风险：</w:t>
            </w:r>
            <w:r>
              <w:rPr>
                <w:rFonts w:hint="eastAsia" w:asciiTheme="minorEastAsia" w:hAnsiTheme="minorEastAsia" w:eastAsiaTheme="minorEastAsia" w:cstheme="minorEastAsia"/>
                <w:color w:val="auto"/>
                <w:sz w:val="21"/>
                <w:szCs w:val="21"/>
                <w:lang w:eastAsia="zh-CN"/>
              </w:rPr>
              <w:t>新冠疫情、</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火灾、触电，评价基本准确。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eastAsia="zh-CN"/>
              </w:rPr>
              <w:t>是</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60" w:lineRule="exact"/>
              <w:jc w:val="left"/>
              <w:rPr>
                <w:rFonts w:ascii="宋体" w:hAnsi="宋体"/>
                <w:b/>
                <w:bCs/>
                <w:color w:val="000000"/>
                <w:sz w:val="24"/>
              </w:rPr>
            </w:pPr>
            <w:r>
              <w:rPr>
                <w:rFonts w:hint="eastAsia" w:ascii="宋体" w:hAnsi="宋体"/>
                <w:b/>
                <w:bCs/>
                <w:color w:val="000000"/>
                <w:sz w:val="24"/>
              </w:rPr>
              <w:t>公司总目标：</w:t>
            </w:r>
          </w:p>
          <w:p>
            <w:pPr>
              <w:ind w:firstLine="1260" w:firstLineChars="600"/>
              <w:rPr>
                <w:rFonts w:hAnsi="宋体" w:cs="宋体"/>
                <w:kern w:val="0"/>
              </w:rPr>
            </w:pPr>
            <w:r>
              <w:rPr>
                <w:rFonts w:hint="eastAsia" w:hAnsi="宋体" w:cs="宋体"/>
                <w:kern w:val="0"/>
              </w:rPr>
              <w:t>1）销售产品合格率98%；</w:t>
            </w:r>
          </w:p>
          <w:p>
            <w:pPr>
              <w:ind w:firstLine="1260" w:firstLineChars="600"/>
              <w:rPr>
                <w:rFonts w:hAnsi="宋体" w:cs="宋体"/>
                <w:kern w:val="0"/>
              </w:rPr>
            </w:pPr>
            <w:r>
              <w:rPr>
                <w:rFonts w:hint="eastAsia" w:hAnsi="宋体" w:cs="宋体"/>
                <w:kern w:val="0"/>
              </w:rPr>
              <w:t>2）产品交付及时率98%；</w:t>
            </w:r>
          </w:p>
          <w:p>
            <w:pPr>
              <w:ind w:firstLine="1260" w:firstLineChars="600"/>
              <w:rPr>
                <w:rFonts w:hAnsi="宋体" w:cs="宋体"/>
                <w:kern w:val="0"/>
              </w:rPr>
            </w:pPr>
            <w:r>
              <w:rPr>
                <w:rFonts w:hint="eastAsia" w:hAnsi="宋体" w:cs="宋体"/>
                <w:kern w:val="0"/>
              </w:rPr>
              <w:t>3）合同评审率100%；</w:t>
            </w:r>
          </w:p>
          <w:p>
            <w:pPr>
              <w:autoSpaceDE w:val="0"/>
              <w:autoSpaceDN w:val="0"/>
              <w:adjustRightInd w:val="0"/>
              <w:ind w:firstLine="1260" w:firstLineChars="600"/>
              <w:rPr>
                <w:rFonts w:hAnsi="宋体" w:cs="宋体"/>
                <w:kern w:val="0"/>
              </w:rPr>
            </w:pPr>
            <w:r>
              <w:rPr>
                <w:rFonts w:hint="eastAsia" w:hAnsi="宋体" w:cs="宋体"/>
                <w:kern w:val="0"/>
              </w:rPr>
              <w:t>4）顾客满意率98%以上</w:t>
            </w:r>
          </w:p>
          <w:p>
            <w:pPr>
              <w:autoSpaceDE w:val="0"/>
              <w:autoSpaceDN w:val="0"/>
              <w:adjustRightInd w:val="0"/>
              <w:ind w:firstLine="1260" w:firstLineChars="600"/>
              <w:rPr>
                <w:rFonts w:hAnsi="宋体" w:cs="宋体"/>
                <w:kern w:val="0"/>
              </w:rPr>
            </w:pPr>
            <w:r>
              <w:rPr>
                <w:rFonts w:hint="eastAsia" w:hAnsi="宋体" w:cs="宋体"/>
                <w:kern w:val="0"/>
              </w:rPr>
              <w:t>5)固体废弃物100%分类，合理处理；</w:t>
            </w:r>
          </w:p>
          <w:p>
            <w:pPr>
              <w:autoSpaceDE w:val="0"/>
              <w:autoSpaceDN w:val="0"/>
              <w:adjustRightInd w:val="0"/>
              <w:ind w:firstLine="1260" w:firstLineChars="600"/>
              <w:rPr>
                <w:rFonts w:hAnsi="宋体" w:cs="宋体"/>
                <w:kern w:val="0"/>
              </w:rPr>
            </w:pPr>
            <w:r>
              <w:rPr>
                <w:rFonts w:hint="eastAsia" w:hAnsi="宋体" w:cs="宋体"/>
                <w:kern w:val="0"/>
              </w:rPr>
              <w:t>6）环境污染事故发生率为零</w:t>
            </w:r>
          </w:p>
          <w:p>
            <w:pPr>
              <w:autoSpaceDE w:val="0"/>
              <w:autoSpaceDN w:val="0"/>
              <w:adjustRightInd w:val="0"/>
              <w:ind w:firstLine="1260" w:firstLineChars="600"/>
              <w:rPr>
                <w:rFonts w:hAnsi="宋体" w:cs="宋体"/>
                <w:kern w:val="0"/>
              </w:rPr>
            </w:pPr>
            <w:r>
              <w:rPr>
                <w:rFonts w:hint="eastAsia" w:hAnsi="宋体" w:cs="宋体"/>
                <w:kern w:val="0"/>
              </w:rPr>
              <w:t xml:space="preserve">7）各类重伤以上事故发生率为零； </w:t>
            </w:r>
          </w:p>
          <w:p>
            <w:pPr>
              <w:autoSpaceDE w:val="0"/>
              <w:autoSpaceDN w:val="0"/>
              <w:adjustRightInd w:val="0"/>
              <w:ind w:firstLine="1260" w:firstLineChars="600"/>
              <w:rPr>
                <w:rFonts w:hAnsi="宋体" w:cs="宋体"/>
                <w:kern w:val="0"/>
              </w:rPr>
            </w:pPr>
            <w:r>
              <w:rPr>
                <w:rFonts w:hint="eastAsia" w:hAnsi="宋体" w:cs="宋体"/>
                <w:kern w:val="0"/>
              </w:rPr>
              <w:t>8）火灾事故发生率为零。</w:t>
            </w:r>
          </w:p>
          <w:p>
            <w:pPr>
              <w:spacing w:line="280" w:lineRule="exact"/>
              <w:ind w:firstLine="420" w:firstLineChars="200"/>
            </w:pPr>
            <w:r>
              <w:rPr>
                <w:rFonts w:hint="eastAsia"/>
              </w:rPr>
              <w:t>目标可测量，与公司管理方针一致。</w:t>
            </w:r>
          </w:p>
          <w:p>
            <w:pPr>
              <w:autoSpaceDE w:val="0"/>
              <w:autoSpaceDN w:val="0"/>
              <w:adjustRightInd w:val="0"/>
              <w:ind w:firstLine="420" w:firstLineChars="200"/>
              <w:rPr>
                <w:rFonts w:hAnsi="宋体" w:cs="宋体"/>
                <w:kern w:val="0"/>
              </w:rPr>
            </w:pPr>
            <w:r>
              <w:rPr>
                <w:rFonts w:hint="eastAsia" w:hAnsi="宋体" w:cs="宋体"/>
                <w:kern w:val="0"/>
              </w:rPr>
              <w:t>综合部的目标分解为：</w:t>
            </w:r>
          </w:p>
          <w:p>
            <w:pPr>
              <w:autoSpaceDE w:val="0"/>
              <w:autoSpaceDN w:val="0"/>
              <w:adjustRightInd w:val="0"/>
              <w:ind w:firstLine="1260" w:firstLineChars="600"/>
              <w:rPr>
                <w:rFonts w:hAnsi="宋体" w:cs="宋体"/>
                <w:kern w:val="0"/>
              </w:rPr>
            </w:pPr>
            <w:r>
              <w:rPr>
                <w:rFonts w:hint="eastAsia" w:hAnsi="宋体" w:cs="宋体"/>
                <w:kern w:val="0"/>
              </w:rPr>
              <w:t>1、 采购产品合格率100%</w:t>
            </w:r>
          </w:p>
          <w:p>
            <w:pPr>
              <w:autoSpaceDE w:val="0"/>
              <w:autoSpaceDN w:val="0"/>
              <w:adjustRightInd w:val="0"/>
              <w:ind w:firstLine="1260" w:firstLineChars="600"/>
              <w:rPr>
                <w:rFonts w:hAnsi="宋体" w:cs="宋体"/>
                <w:kern w:val="0"/>
              </w:rPr>
            </w:pPr>
            <w:r>
              <w:rPr>
                <w:rFonts w:hint="eastAsia" w:hAnsi="宋体" w:cs="宋体"/>
                <w:kern w:val="0"/>
              </w:rPr>
              <w:t>2、员工培训按时完成率100%。</w:t>
            </w:r>
          </w:p>
          <w:p>
            <w:pPr>
              <w:autoSpaceDE w:val="0"/>
              <w:autoSpaceDN w:val="0"/>
              <w:adjustRightInd w:val="0"/>
              <w:ind w:firstLine="1260" w:firstLineChars="600"/>
              <w:rPr>
                <w:rFonts w:hAnsi="宋体" w:cs="宋体"/>
                <w:kern w:val="0"/>
              </w:rPr>
            </w:pPr>
            <w:r>
              <w:rPr>
                <w:rFonts w:hint="eastAsia" w:hAnsi="宋体" w:cs="宋体"/>
                <w:kern w:val="0"/>
              </w:rPr>
              <w:t>3、顾客满意率96%以上。</w:t>
            </w:r>
          </w:p>
          <w:p>
            <w:pPr>
              <w:autoSpaceDE w:val="0"/>
              <w:autoSpaceDN w:val="0"/>
              <w:adjustRightInd w:val="0"/>
              <w:ind w:firstLine="1260" w:firstLineChars="600"/>
              <w:rPr>
                <w:rFonts w:hAnsi="宋体" w:cs="宋体"/>
                <w:kern w:val="0"/>
              </w:rPr>
            </w:pPr>
            <w:r>
              <w:rPr>
                <w:rFonts w:hint="eastAsia" w:hAnsi="宋体" w:cs="宋体"/>
                <w:kern w:val="0"/>
              </w:rPr>
              <w:t>4、环境污染事故为零。</w:t>
            </w:r>
          </w:p>
          <w:p>
            <w:pPr>
              <w:autoSpaceDE w:val="0"/>
              <w:autoSpaceDN w:val="0"/>
              <w:adjustRightInd w:val="0"/>
              <w:ind w:firstLine="1260" w:firstLineChars="600"/>
              <w:rPr>
                <w:rFonts w:hAnsi="宋体" w:cs="宋体"/>
                <w:kern w:val="0"/>
              </w:rPr>
            </w:pPr>
            <w:r>
              <w:rPr>
                <w:rFonts w:hint="eastAsia" w:hAnsi="宋体" w:cs="宋体"/>
                <w:kern w:val="0"/>
              </w:rPr>
              <w:t>5、火灾事故发生率为零。</w:t>
            </w:r>
          </w:p>
          <w:p>
            <w:pPr>
              <w:pStyle w:val="2"/>
            </w:pPr>
            <w:r>
              <w:rPr>
                <w:rFonts w:hint="eastAsia"/>
              </w:rPr>
              <w:t>每年由综合部按公司管理目标考核要求统计考核公司管理目标完成情况，提交管理评审会议。查到2</w:t>
            </w:r>
            <w:r>
              <w:t>020</w:t>
            </w:r>
            <w:r>
              <w:rPr>
                <w:rFonts w:hint="eastAsia"/>
              </w:rPr>
              <w:t>年</w:t>
            </w:r>
            <w:r>
              <w:t>3</w:t>
            </w:r>
            <w:r>
              <w:rPr>
                <w:rFonts w:hint="eastAsia"/>
              </w:rPr>
              <w:t>月-</w:t>
            </w:r>
            <w:r>
              <w:t>2020</w:t>
            </w:r>
            <w:r>
              <w:rPr>
                <w:rFonts w:hint="eastAsia"/>
              </w:rPr>
              <w:t>年6月，公司管理目标完成情况，各项目标均已完成，考核部门综合部。</w:t>
            </w:r>
          </w:p>
          <w:p>
            <w:pPr>
              <w:ind w:firstLine="420" w:firstLineChars="200"/>
              <w:rPr>
                <w:rFonts w:ascii="宋体" w:hAnsi="宋体"/>
                <w:b/>
                <w:color w:val="000000" w:themeColor="text1"/>
              </w:rPr>
            </w:pPr>
            <w:r>
              <w:rPr>
                <w:rFonts w:hint="eastAsia" w:asciiTheme="minorEastAsia" w:hAnsiTheme="minorEastAsia" w:eastAsiaTheme="minorEastAsia" w:cstheme="minorEastAsia"/>
                <w:szCs w:val="21"/>
              </w:rPr>
              <w:t>查 “环境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”，公司针对重要环境因素和重大危险源制订了相应的管理方案。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color w:val="000000" w:themeColor="text1"/>
              </w:rPr>
            </w:pPr>
            <w:r>
              <w:rPr>
                <w:rFonts w:hint="eastAsia"/>
                <w:color w:val="000000" w:themeColor="text1"/>
              </w:rPr>
              <w:t>审核方建立的管理体系文件包括：</w:t>
            </w:r>
          </w:p>
          <w:p>
            <w:pPr>
              <w:pStyle w:val="2"/>
              <w:numPr>
                <w:ilvl w:val="0"/>
                <w:numId w:val="5"/>
              </w:numPr>
              <w:tabs>
                <w:tab w:val="clear" w:pos="312"/>
              </w:tabs>
            </w:pPr>
            <w:r>
              <w:rPr>
                <w:rFonts w:hint="eastAsia"/>
              </w:rPr>
              <w:t>管理手册</w:t>
            </w:r>
            <w:r>
              <w:rPr>
                <w:rFonts w:hint="eastAsia"/>
                <w:b/>
              </w:rPr>
              <w:t>OSBD</w:t>
            </w:r>
            <w:r>
              <w:rPr>
                <w:b/>
              </w:rPr>
              <w:t>-SC</w:t>
            </w:r>
            <w:r>
              <w:rPr>
                <w:rFonts w:hint="eastAsia"/>
                <w:b/>
              </w:rPr>
              <w:t xml:space="preserve">-A/0-2020 </w:t>
            </w:r>
            <w:r>
              <w:rPr>
                <w:rFonts w:hint="eastAsia"/>
              </w:rPr>
              <w:t xml:space="preserve"> A/</w:t>
            </w:r>
            <w:r>
              <w:t>0</w:t>
            </w:r>
            <w:r>
              <w:rPr>
                <w:rFonts w:hint="eastAsia"/>
              </w:rPr>
              <w:t>版，发布时间：20</w:t>
            </w:r>
            <w:r>
              <w:t>20</w:t>
            </w:r>
            <w:r>
              <w:rPr>
                <w:rFonts w:hint="eastAsia"/>
              </w:rPr>
              <w:t>年</w:t>
            </w:r>
            <w:r>
              <w:t>03</w:t>
            </w:r>
            <w:r>
              <w:rPr>
                <w:rFonts w:hint="eastAsia"/>
              </w:rPr>
              <w:t>月10日实施时间：20</w:t>
            </w:r>
            <w:r>
              <w:t>20</w:t>
            </w:r>
            <w:r>
              <w:rPr>
                <w:rFonts w:hint="eastAsia"/>
              </w:rPr>
              <w:t>年</w:t>
            </w:r>
            <w:r>
              <w:t>03</w:t>
            </w:r>
            <w:r>
              <w:rPr>
                <w:rFonts w:hint="eastAsia"/>
              </w:rPr>
              <w:t xml:space="preserve">月 </w:t>
            </w:r>
            <w:r>
              <w:t xml:space="preserve">       </w:t>
            </w:r>
            <w:r>
              <w:rPr>
                <w:rFonts w:hint="eastAsia"/>
              </w:rPr>
              <w:t>10日</w:t>
            </w:r>
          </w:p>
          <w:p>
            <w:pPr>
              <w:pStyle w:val="2"/>
              <w:rPr>
                <w:b/>
              </w:rPr>
            </w:pPr>
            <w:r>
              <w:rPr>
                <w:rFonts w:hint="eastAsia"/>
              </w:rPr>
              <w:t>2.程序文件</w:t>
            </w:r>
            <w:r>
              <w:rPr>
                <w:rFonts w:hint="eastAsia"/>
                <w:b/>
              </w:rPr>
              <w:t xml:space="preserve">OSBD </w:t>
            </w:r>
            <w:r>
              <w:rPr>
                <w:b/>
              </w:rPr>
              <w:t>-</w:t>
            </w:r>
            <w:r>
              <w:rPr>
                <w:rFonts w:hint="eastAsia"/>
                <w:b/>
              </w:rPr>
              <w:t>CX -A/0-2020</w:t>
            </w:r>
            <w:r>
              <w:rPr>
                <w:b/>
              </w:rPr>
              <w:t xml:space="preserve">  </w:t>
            </w:r>
            <w:r>
              <w:rPr>
                <w:rFonts w:hint="eastAsia"/>
              </w:rPr>
              <w:t>A</w:t>
            </w:r>
            <w:r>
              <w:t>/0</w:t>
            </w:r>
            <w:r>
              <w:rPr>
                <w:rFonts w:hint="eastAsia"/>
              </w:rPr>
              <w:t>版含2</w:t>
            </w:r>
            <w:r>
              <w:t>3</w:t>
            </w:r>
            <w:r>
              <w:rPr>
                <w:rFonts w:hint="eastAsia"/>
              </w:rPr>
              <w:t>个文件，包括标准要求的形成文件的信息。</w:t>
            </w:r>
          </w:p>
          <w:p>
            <w:pPr>
              <w:pStyle w:val="2"/>
            </w:pPr>
            <w:r>
              <w:rPr>
                <w:rFonts w:hint="eastAsia"/>
              </w:rPr>
              <w:t>3.管理制度汇编：质量管理制度、销售管理制度等10个</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rPr>
                <w:rFonts w:ascii="宋体" w:hAnsi="宋体"/>
                <w:b/>
                <w:color w:val="000000" w:themeColor="text1"/>
                <w:sz w:val="20"/>
                <w:szCs w:val="20"/>
              </w:rPr>
            </w:pPr>
            <w:r>
              <w:rPr>
                <w:rFonts w:hint="eastAsia"/>
              </w:rPr>
              <w:t>保存期限分别为三年和长期。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pStyle w:val="3"/>
              <w:widowControl/>
              <w:ind w:firstLine="402" w:firstLineChars="200"/>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3"/>
              <w:widowControl/>
              <w:ind w:firstLine="420" w:firstLineChars="200"/>
              <w:rPr>
                <w:szCs w:val="21"/>
              </w:rPr>
            </w:pPr>
            <w:r>
              <w:rPr>
                <w:rFonts w:hint="eastAsia" w:ascii="Times New Roman" w:hAnsi="Times New Roman"/>
                <w:sz w:val="21"/>
                <w:szCs w:val="21"/>
              </w:rPr>
              <w:t>编制</w:t>
            </w:r>
            <w:r>
              <w:rPr>
                <w:rFonts w:ascii="Times New Roman" w:hAnsi="Times New Roman"/>
                <w:sz w:val="21"/>
                <w:szCs w:val="21"/>
              </w:rPr>
              <w:t>OSBD -CX-7.2-03</w:t>
            </w:r>
            <w:r>
              <w:rPr>
                <w:rFonts w:hint="eastAsia" w:ascii="Times New Roman" w:hAnsi="Times New Roman"/>
                <w:sz w:val="21"/>
                <w:szCs w:val="21"/>
              </w:rPr>
              <w:t>《人员能力、意识控制程序》，规定了控制要求。对企业的人力资源的培养和发展等作出规定，招聘、培训、试用与转正等人力资源作出了规划。</w:t>
            </w:r>
          </w:p>
          <w:p>
            <w:pPr>
              <w:pStyle w:val="3"/>
              <w:widowControl/>
              <w:ind w:firstLine="420" w:firstLineChars="200"/>
              <w:rPr>
                <w:rFonts w:ascii="Times New Roman" w:hAnsi="Times New Roman"/>
                <w:sz w:val="21"/>
                <w:szCs w:val="21"/>
              </w:rPr>
            </w:pPr>
            <w:r>
              <w:rPr>
                <w:rFonts w:hint="eastAsia" w:ascii="Times New Roman" w:hAnsi="Times New Roman"/>
                <w:sz w:val="21"/>
                <w:szCs w:val="21"/>
              </w:rPr>
              <w:t>企业提供了《岗位资格任职要求》，对各岗位的任职条件做了规定。</w:t>
            </w:r>
          </w:p>
          <w:p>
            <w:pPr>
              <w:pStyle w:val="3"/>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2020</w:t>
            </w:r>
            <w:r>
              <w:rPr>
                <w:rFonts w:hint="eastAsia" w:ascii="Times New Roman" w:hAnsi="Times New Roman"/>
                <w:sz w:val="21"/>
                <w:szCs w:val="21"/>
              </w:rPr>
              <w:t>年培训计划》，同时有培训记录、受培训部门参加培训人员培训方式培训内容考核方式等内容，显示安排标准、管理手册和程序、法律法规和其他要求、方针、危险源、环境因素和关键特殊施工过程控制培训、意识教育、新员工等培训。</w:t>
            </w:r>
          </w:p>
          <w:p>
            <w:pPr>
              <w:pStyle w:val="2"/>
              <w:rPr>
                <w:rFonts w:ascii="宋体" w:hAnsi="宋体"/>
                <w:b/>
                <w:color w:val="000000" w:themeColor="text1"/>
                <w:sz w:val="20"/>
                <w:szCs w:val="20"/>
              </w:rPr>
            </w:pPr>
            <w:r>
              <w:rPr>
                <w:rFonts w:hint="eastAsia"/>
                <w:color w:val="0C0C0C"/>
                <w:szCs w:val="21"/>
              </w:rPr>
              <w:t>人力资源控制基本满足要求。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asciiTheme="minorEastAsia" w:hAnsiTheme="minorEastAsia" w:eastAsiaTheme="minorEastAsia" w:cstheme="minorEastAsia"/>
                <w:sz w:val="21"/>
                <w:szCs w:val="21"/>
              </w:rPr>
              <w:t>查设备台帐，主要是办公设备，包括：</w:t>
            </w:r>
            <w:r>
              <w:rPr>
                <w:rFonts w:hint="eastAsia" w:asciiTheme="minorEastAsia" w:hAnsiTheme="minorEastAsia" w:eastAsiaTheme="minorEastAsia" w:cstheme="minorEastAsia"/>
                <w:sz w:val="21"/>
                <w:szCs w:val="21"/>
                <w:lang w:eastAsia="zh-CN"/>
              </w:rPr>
              <w:t>电脑、电话、</w:t>
            </w:r>
            <w:r>
              <w:rPr>
                <w:rFonts w:hint="eastAsia" w:asciiTheme="minorEastAsia" w:hAnsiTheme="minorEastAsia" w:eastAsiaTheme="minorEastAsia" w:cstheme="minorEastAsia"/>
                <w:sz w:val="21"/>
                <w:szCs w:val="21"/>
                <w:lang w:val="en-US" w:eastAsia="zh-CN"/>
              </w:rPr>
              <w:t>办公桌椅、文件柜、</w:t>
            </w:r>
            <w:r>
              <w:rPr>
                <w:rFonts w:hint="eastAsia" w:asciiTheme="minorEastAsia" w:hAnsiTheme="minorEastAsia" w:eastAsiaTheme="minorEastAsia" w:cstheme="minorEastAsia"/>
                <w:sz w:val="21"/>
                <w:szCs w:val="21"/>
                <w:lang w:eastAsia="zh-CN"/>
              </w:rPr>
              <w:t>汽车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电脑、传真、打印机及网络运行正常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日常维护保养包括对电脑的定期杀毒，车的定期保养、大中小修、定期年检。全部完好。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val="en-US" w:eastAsia="zh-CN"/>
              </w:rPr>
              <w:t>:</w:t>
            </w:r>
          </w:p>
          <w:p>
            <w:pPr>
              <w:ind w:firstLine="420" w:firstLineChars="200"/>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现有员工、办公生产销售场所、办公生产销售设备等基础设施以及必要的工作环境，配备较为充分。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w:t>
            </w:r>
          </w:p>
          <w:p>
            <w:pPr>
              <w:spacing w:line="240" w:lineRule="exact"/>
              <w:ind w:firstLine="602" w:firstLineChars="300"/>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有</w:t>
            </w:r>
            <w:r>
              <w:rPr>
                <w:rFonts w:hint="eastAsia" w:asciiTheme="minorEastAsia" w:hAnsiTheme="minorEastAsia" w:eastAsiaTheme="minorEastAsia" w:cstheme="minorEastAsia"/>
                <w:b w:val="0"/>
                <w:bCs/>
                <w:color w:val="auto"/>
                <w:sz w:val="21"/>
                <w:szCs w:val="21"/>
                <w:lang w:val="en-US" w:eastAsia="zh-CN"/>
              </w:rPr>
              <w:t>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ind w:firstLine="210" w:firstLineChars="100"/>
              <w:rPr>
                <w:rFonts w:hint="eastAsia" w:ascii="宋体" w:hAnsi="宋体" w:eastAsia="宋体"/>
                <w:b/>
                <w:color w:val="000000" w:themeColor="text1"/>
                <w:sz w:val="20"/>
                <w:szCs w:val="20"/>
                <w:lang w:val="en-US" w:eastAsia="zh-CN"/>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0"/>
              </w:num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rPr>
              <w:t>配备有灭火器等环保设施。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《管理手册》中规定了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lang w:eastAsia="zh-CN"/>
              </w:rPr>
              <w:t>过程受控条件。得到</w:t>
            </w:r>
            <w:r>
              <w:rPr>
                <w:rFonts w:hint="eastAsia" w:asciiTheme="minorEastAsia" w:hAnsiTheme="minorEastAsia" w:eastAsiaTheme="minorEastAsia" w:cstheme="minorEastAsia"/>
                <w:color w:val="auto"/>
                <w:sz w:val="21"/>
                <w:szCs w:val="21"/>
                <w:lang w:val="en-US" w:eastAsia="zh-CN"/>
              </w:rPr>
              <w:t>工作指标、任务单</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●根据</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lang w:eastAsia="zh-CN"/>
              </w:rPr>
              <w:t>要求，</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lang w:eastAsia="zh-CN"/>
              </w:rPr>
              <w:t>下达</w:t>
            </w:r>
            <w:r>
              <w:rPr>
                <w:rFonts w:hint="eastAsia" w:asciiTheme="minorEastAsia" w:hAnsiTheme="minorEastAsia" w:eastAsiaTheme="minorEastAsia" w:cstheme="minorEastAsia"/>
                <w:color w:val="auto"/>
                <w:sz w:val="21"/>
                <w:szCs w:val="21"/>
                <w:lang w:val="en-US" w:eastAsia="zh-CN"/>
              </w:rPr>
              <w:t>任务单</w:t>
            </w:r>
            <w:r>
              <w:rPr>
                <w:rFonts w:hint="eastAsia" w:asciiTheme="minorEastAsia" w:hAnsiTheme="minorEastAsia" w:eastAsiaTheme="minorEastAsia" w:cstheme="minorEastAsia"/>
                <w:color w:val="auto"/>
                <w:sz w:val="21"/>
                <w:szCs w:val="21"/>
                <w:lang w:eastAsia="zh-CN"/>
              </w:rPr>
              <w:t>，包括</w:t>
            </w:r>
            <w:r>
              <w:rPr>
                <w:rFonts w:hint="eastAsia" w:asciiTheme="minorEastAsia" w:hAnsiTheme="minorEastAsia" w:eastAsiaTheme="minorEastAsia" w:cstheme="minorEastAsia"/>
                <w:color w:val="auto"/>
                <w:sz w:val="21"/>
                <w:szCs w:val="21"/>
                <w:lang w:val="en-US" w:eastAsia="zh-CN"/>
              </w:rPr>
              <w:t>项目编号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服务内容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完成时限等</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●获得和使用适宜的监视测量资源：对服务质量进行检查、对顾客满意度进行调查，制定对应表格。</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●抽查过程监视和测量情况，提供了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过程记录及检验记录。对各工序等过程的监控记录予以控制。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●使用适宜的设备和过程环境：有台式电脑、复印机、打印机、传真机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展板等办公用品</w:t>
            </w:r>
            <w:r>
              <w:rPr>
                <w:rFonts w:hint="eastAsia" w:asciiTheme="minorEastAsia" w:hAnsiTheme="minorEastAsia" w:eastAsiaTheme="minorEastAsia" w:cstheme="minorEastAsia"/>
                <w:color w:val="auto"/>
                <w:sz w:val="21"/>
                <w:szCs w:val="21"/>
              </w:rPr>
              <w:t>，可以满足工作需要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设备数量保证，维修及时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查见办公现场整洁，电脑、传真、打印机及网络运行正常。</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●指派胜任的人员，包括所要求的资格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见Q7.2记录</w:t>
            </w:r>
            <w:r>
              <w:rPr>
                <w:rFonts w:hint="eastAsia" w:asciiTheme="minorEastAsia" w:hAnsiTheme="minorEastAsia" w:eastAsiaTheme="minorEastAsia" w:cstheme="minorEastAsia"/>
                <w:color w:val="auto"/>
                <w:sz w:val="21"/>
                <w:szCs w:val="21"/>
              </w:rPr>
              <w:t>。</w:t>
            </w:r>
          </w:p>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需要确认的过程：</w:t>
            </w:r>
            <w:r>
              <w:rPr>
                <w:rFonts w:hint="eastAsia" w:asciiTheme="minorEastAsia" w:hAnsiTheme="minorEastAsia" w:eastAsiaTheme="minorEastAsia" w:cstheme="minorEastAsia"/>
                <w:b/>
                <w:bCs/>
                <w:color w:val="auto"/>
                <w:sz w:val="21"/>
                <w:szCs w:val="21"/>
                <w:lang w:eastAsia="zh-CN"/>
              </w:rPr>
              <w:t>查管理手册</w:t>
            </w:r>
            <w:r>
              <w:rPr>
                <w:rFonts w:hint="eastAsia" w:asciiTheme="minorEastAsia" w:hAnsiTheme="minorEastAsia" w:eastAsiaTheme="minorEastAsia" w:cstheme="minorEastAsia"/>
                <w:b/>
                <w:bCs/>
                <w:color w:val="auto"/>
                <w:sz w:val="21"/>
                <w:szCs w:val="21"/>
              </w:rPr>
              <w:t>，该公司目前经识别确认的特</w:t>
            </w:r>
            <w:r>
              <w:rPr>
                <w:rFonts w:hint="eastAsia" w:asciiTheme="minorEastAsia" w:hAnsiTheme="minorEastAsia" w:eastAsiaTheme="minorEastAsia" w:cstheme="minorEastAsia"/>
                <w:b/>
                <w:bCs/>
                <w:color w:val="auto"/>
                <w:sz w:val="21"/>
                <w:szCs w:val="21"/>
                <w:lang w:val="en-US" w:eastAsia="zh-CN"/>
              </w:rPr>
              <w:t>殊过程为</w:t>
            </w:r>
            <w:r>
              <w:rPr>
                <w:rFonts w:hint="eastAsia" w:asciiTheme="minorEastAsia" w:hAnsiTheme="minorEastAsia" w:eastAsiaTheme="minorEastAsia" w:cstheme="minorEastAsia"/>
                <w:b/>
                <w:bCs/>
                <w:color w:val="auto"/>
                <w:sz w:val="21"/>
                <w:szCs w:val="21"/>
              </w:rPr>
              <w:t>销售服务过程</w:t>
            </w:r>
            <w:r>
              <w:rPr>
                <w:rFonts w:hint="eastAsia" w:asciiTheme="minorEastAsia" w:hAnsiTheme="minorEastAsia" w:eastAsiaTheme="minorEastAsia" w:cstheme="minorEastAsia"/>
                <w:b/>
                <w:bCs/>
                <w:color w:val="auto"/>
                <w:sz w:val="21"/>
                <w:szCs w:val="21"/>
                <w:lang w:val="en-US" w:eastAsia="zh-CN"/>
              </w:rPr>
              <w:t xml:space="preserve">。查见《 </w:t>
            </w:r>
            <w:r>
              <w:rPr>
                <w:rFonts w:hint="eastAsia" w:asciiTheme="minorEastAsia" w:hAnsiTheme="minorEastAsia" w:eastAsiaTheme="minorEastAsia" w:cstheme="minorEastAsia"/>
                <w:sz w:val="21"/>
                <w:szCs w:val="21"/>
              </w:rPr>
              <w:t>JL-8.5-01</w:t>
            </w:r>
            <w:r>
              <w:rPr>
                <w:rFonts w:hint="eastAsia" w:asciiTheme="minorEastAsia" w:hAnsiTheme="minorEastAsia" w:eastAsiaTheme="minorEastAsia" w:cstheme="minorEastAsia"/>
                <w:b/>
                <w:bCs/>
                <w:color w:val="auto"/>
                <w:sz w:val="21"/>
                <w:szCs w:val="21"/>
                <w:lang w:val="en-US" w:eastAsia="zh-CN"/>
              </w:rPr>
              <w:t>特殊过程确认表</w:t>
            </w:r>
            <w:r>
              <w:rPr>
                <w:rFonts w:hint="eastAsia" w:asciiTheme="minorEastAsia" w:hAnsiTheme="minorEastAsia" w:eastAsiaTheme="minorEastAsia" w:cstheme="minorEastAsia"/>
                <w:b/>
                <w:bCs/>
                <w:color w:val="auto"/>
                <w:sz w:val="21"/>
                <w:szCs w:val="21"/>
              </w:rPr>
              <w:t>》，对</w:t>
            </w:r>
            <w:r>
              <w:rPr>
                <w:rFonts w:hint="eastAsia" w:asciiTheme="minorEastAsia" w:hAnsiTheme="minorEastAsia" w:eastAsiaTheme="minorEastAsia" w:cstheme="minorEastAsia"/>
                <w:b/>
                <w:bCs/>
                <w:color w:val="auto"/>
                <w:sz w:val="21"/>
                <w:szCs w:val="21"/>
                <w:lang w:val="en-US" w:eastAsia="zh-CN"/>
              </w:rPr>
              <w:t>该</w:t>
            </w:r>
            <w:r>
              <w:rPr>
                <w:rFonts w:hint="eastAsia" w:asciiTheme="minorEastAsia" w:hAnsiTheme="minorEastAsia" w:eastAsiaTheme="minorEastAsia" w:cstheme="minorEastAsia"/>
                <w:b/>
                <w:bCs/>
                <w:color w:val="auto"/>
                <w:sz w:val="21"/>
                <w:szCs w:val="21"/>
              </w:rPr>
              <w:t>过程从工作人员能力、设备能力、工作流程等方面进行了确认评价。确认结论：满足要求。确认人：贾晓东 毕永红 王鸷</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 xml:space="preserve"> 时间:2020.3.10</w:t>
            </w:r>
            <w:r>
              <w:rPr>
                <w:rFonts w:hint="eastAsia" w:asciiTheme="minorEastAsia" w:hAnsiTheme="minorEastAsia" w:eastAsiaTheme="minorEastAsia" w:cstheme="minorEastAsia"/>
                <w:b/>
                <w:bCs/>
                <w:color w:val="auto"/>
                <w:sz w:val="21"/>
                <w:szCs w:val="21"/>
                <w:lang w:val="en-US" w:eastAsia="zh-CN"/>
              </w:rPr>
              <w:t>。</w:t>
            </w:r>
            <w:r>
              <w:rPr>
                <w:rFonts w:hint="eastAsia" w:asciiTheme="minorEastAsia" w:hAnsiTheme="minorEastAsia" w:eastAsiaTheme="minorEastAsia" w:cstheme="minorEastAsia"/>
                <w:b/>
                <w:bCs/>
                <w:color w:val="auto"/>
                <w:sz w:val="21"/>
                <w:szCs w:val="21"/>
              </w:rPr>
              <w:t>该特殊过程自确认后，人员、设备、工作流程没有变更发生，</w:t>
            </w:r>
            <w:r>
              <w:rPr>
                <w:rFonts w:hint="eastAsia" w:asciiTheme="minorEastAsia" w:hAnsiTheme="minorEastAsia" w:eastAsiaTheme="minorEastAsia" w:cstheme="minorEastAsia"/>
                <w:b/>
                <w:bCs/>
                <w:color w:val="auto"/>
                <w:sz w:val="21"/>
                <w:szCs w:val="21"/>
                <w:lang w:val="en-US" w:eastAsia="zh-CN"/>
              </w:rPr>
              <w:t>无</w:t>
            </w:r>
            <w:r>
              <w:rPr>
                <w:rFonts w:hint="eastAsia" w:asciiTheme="minorEastAsia" w:hAnsiTheme="minorEastAsia" w:eastAsiaTheme="minorEastAsia" w:cstheme="minorEastAsia"/>
                <w:b/>
                <w:bCs/>
                <w:color w:val="auto"/>
                <w:sz w:val="21"/>
                <w:szCs w:val="21"/>
              </w:rPr>
              <w:t>再确认的情况。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●通过对客户</w:t>
            </w:r>
            <w:r>
              <w:rPr>
                <w:rFonts w:hint="eastAsia" w:asciiTheme="minorEastAsia" w:hAnsiTheme="minorEastAsia" w:eastAsiaTheme="minorEastAsia" w:cstheme="minorEastAsia"/>
                <w:color w:val="auto"/>
                <w:sz w:val="21"/>
                <w:szCs w:val="21"/>
                <w:lang w:val="en-US" w:eastAsia="zh-CN"/>
              </w:rPr>
              <w:t>分类</w:t>
            </w:r>
            <w:r>
              <w:rPr>
                <w:rFonts w:hint="eastAsia" w:asciiTheme="minorEastAsia" w:hAnsiTheme="minorEastAsia" w:eastAsiaTheme="minorEastAsia" w:cstheme="minorEastAsia"/>
                <w:color w:val="auto"/>
                <w:sz w:val="21"/>
                <w:szCs w:val="21"/>
              </w:rPr>
              <w:t>、区域标识，专人负责专</w:t>
            </w:r>
            <w:r>
              <w:rPr>
                <w:rFonts w:hint="eastAsia" w:asciiTheme="minorEastAsia" w:hAnsiTheme="minorEastAsia" w:eastAsiaTheme="minorEastAsia" w:cstheme="minorEastAsia"/>
                <w:color w:val="auto"/>
                <w:sz w:val="21"/>
                <w:szCs w:val="21"/>
                <w:lang w:val="en-US" w:eastAsia="zh-CN"/>
              </w:rPr>
              <w:t>项</w:t>
            </w:r>
            <w:r>
              <w:rPr>
                <w:rFonts w:hint="eastAsia" w:asciiTheme="minorEastAsia" w:hAnsiTheme="minorEastAsia" w:eastAsiaTheme="minorEastAsia" w:cstheme="minorEastAsia"/>
                <w:color w:val="auto"/>
                <w:sz w:val="21"/>
                <w:szCs w:val="21"/>
              </w:rPr>
              <w:t>管理，批次归档保存等措施防止人为差错的发生。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服务完成后通知</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确认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通过电话</w:t>
            </w:r>
            <w:r>
              <w:rPr>
                <w:rFonts w:hint="eastAsia" w:asciiTheme="minorEastAsia" w:hAnsiTheme="minorEastAsia" w:eastAsiaTheme="minorEastAsia" w:cstheme="minorEastAsia"/>
                <w:color w:val="auto"/>
                <w:sz w:val="21"/>
                <w:szCs w:val="21"/>
                <w:lang w:val="en-US" w:eastAsia="zh-CN"/>
              </w:rPr>
              <w:t>/网络</w:t>
            </w:r>
            <w:r>
              <w:rPr>
                <w:rFonts w:hint="eastAsia" w:asciiTheme="minorEastAsia" w:hAnsiTheme="minorEastAsia" w:eastAsiaTheme="minorEastAsia" w:cstheme="minorEastAsia"/>
                <w:color w:val="auto"/>
                <w:sz w:val="21"/>
                <w:szCs w:val="21"/>
              </w:rPr>
              <w:t>跟踪沟通及定期拜访等方式确认交付及交付后服务的满意程度，做好售后服务工作，详见</w:t>
            </w: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9.1.2审核记录。</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●查见</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rPr>
              <w:t>电脑、传真、打印机及网络运行正常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物品放置基本有秩序。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b/>
                <w:color w:val="000000" w:themeColor="text1"/>
                <w:sz w:val="20"/>
                <w:szCs w:val="20"/>
              </w:rPr>
            </w:pPr>
            <w:r>
              <w:rPr>
                <w:rFonts w:hint="eastAsia"/>
                <w:bCs/>
                <w:szCs w:val="21"/>
              </w:rPr>
              <w:t>按照顾客和合同要求进行服务，能够稳定的向顾客提供合格的销售产品及服务。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ind w:firstLine="460" w:firstLineChars="200"/>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重要环境因素：火灾后发生的环境影响、包装物产生的固废；控制措施：及时回收或处理。</w:t>
            </w:r>
            <w:r>
              <w:rPr>
                <w:rFonts w:hint="eastAsia"/>
                <w:bCs/>
                <w:szCs w:val="21"/>
              </w:rPr>
              <w:t>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bCs/>
                <w:szCs w:val="21"/>
                <w:lang w:eastAsia="zh-CN"/>
              </w:rPr>
              <w:t>：</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、新冠疫情、意外伤害等</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bCs/>
              </w:rPr>
              <w:t>11 .对危险化学品销售、使用、储存、运输处置，规定的执行力度(必要时); （适用时）</w:t>
            </w: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476885" cy="316865"/>
            <wp:effectExtent l="0" t="0" r="1841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lum contrast="78000"/>
                    </a:blip>
                    <a:stretch>
                      <a:fillRect/>
                    </a:stretch>
                  </pic:blipFill>
                  <pic:spPr>
                    <a:xfrm>
                      <a:off x="0" y="0"/>
                      <a:ext cx="476885" cy="316865"/>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634365" cy="269240"/>
            <wp:effectExtent l="0" t="0" r="13335" b="16510"/>
            <wp:docPr id="6" name="图片 2"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55fab08e72c964295c924bd5977bacc"/>
                    <pic:cNvPicPr>
                      <a:picLocks noChangeAspect="1"/>
                    </pic:cNvPicPr>
                  </pic:nvPicPr>
                  <pic:blipFill>
                    <a:blip r:embed="rId8"/>
                    <a:stretch>
                      <a:fillRect/>
                    </a:stretch>
                  </pic:blipFill>
                  <pic:spPr>
                    <a:xfrm>
                      <a:off x="0" y="0"/>
                      <a:ext cx="634365" cy="269240"/>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ascii="宋体" w:hAnsi="宋体"/>
          <w:szCs w:val="21"/>
        </w:rPr>
        <w:drawing>
          <wp:inline distT="0" distB="0" distL="114300" distR="114300">
            <wp:extent cx="479425" cy="339090"/>
            <wp:effectExtent l="0" t="0" r="15875" b="3810"/>
            <wp:docPr id="5" name="图片 3"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ae27f13d4c00e77522a97fbea83b3a3"/>
                    <pic:cNvPicPr>
                      <a:picLocks noChangeAspect="1"/>
                    </pic:cNvPicPr>
                  </pic:nvPicPr>
                  <pic:blipFill>
                    <a:blip r:embed="rId9"/>
                    <a:stretch>
                      <a:fillRect/>
                    </a:stretch>
                  </pic:blipFill>
                  <pic:spPr>
                    <a:xfrm>
                      <a:off x="0" y="0"/>
                      <a:ext cx="479425" cy="339090"/>
                    </a:xfrm>
                    <a:prstGeom prst="rect">
                      <a:avLst/>
                    </a:prstGeom>
                    <a:noFill/>
                    <a:ln>
                      <a:noFill/>
                    </a:ln>
                  </pic:spPr>
                </pic:pic>
              </a:graphicData>
            </a:graphic>
          </wp:inline>
        </w:drawing>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2020年8月28日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626745" cy="274320"/>
            <wp:effectExtent l="0" t="0" r="1905" b="1143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r>
        <w:rPr>
          <w:rFonts w:hint="eastAsia"/>
          <w:b/>
          <w:color w:val="000000" w:themeColor="text1"/>
          <w:szCs w:val="21"/>
        </w:rPr>
        <w:t xml:space="preserve">                             日期: </w:t>
      </w:r>
      <w:r>
        <w:rPr>
          <w:rFonts w:hint="eastAsia" w:asciiTheme="minorEastAsia" w:hAnsiTheme="minorEastAsia" w:eastAsiaTheme="minorEastAsia"/>
          <w:b/>
          <w:color w:val="000000" w:themeColor="text1"/>
          <w:lang w:val="en-US" w:eastAsia="zh-CN"/>
        </w:rPr>
        <w:t>2020年8月29日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0F3F0C"/>
    <w:multiLevelType w:val="singleLevel"/>
    <w:tmpl w:val="D60F3F0C"/>
    <w:lvl w:ilvl="0" w:tentative="0">
      <w:start w:val="2"/>
      <w:numFmt w:val="decimal"/>
      <w:suff w:val="nothing"/>
      <w:lvlText w:val="%1、"/>
      <w:lvlJc w:val="left"/>
    </w:lvl>
  </w:abstractNum>
  <w:abstractNum w:abstractNumId="1">
    <w:nsid w:val="D64A2BA5"/>
    <w:multiLevelType w:val="singleLevel"/>
    <w:tmpl w:val="D64A2BA5"/>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7D62BD6A"/>
    <w:multiLevelType w:val="singleLevel"/>
    <w:tmpl w:val="7D62BD6A"/>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B7BFF"/>
    <w:rsid w:val="017A6EA4"/>
    <w:rsid w:val="02BB2FB4"/>
    <w:rsid w:val="052215CC"/>
    <w:rsid w:val="092772CC"/>
    <w:rsid w:val="0F9459BC"/>
    <w:rsid w:val="0FED1833"/>
    <w:rsid w:val="11477BB2"/>
    <w:rsid w:val="11AD287B"/>
    <w:rsid w:val="15431807"/>
    <w:rsid w:val="169F6C7F"/>
    <w:rsid w:val="1B9E2305"/>
    <w:rsid w:val="1C9F22E1"/>
    <w:rsid w:val="23273A51"/>
    <w:rsid w:val="24712E1B"/>
    <w:rsid w:val="25571985"/>
    <w:rsid w:val="288731BF"/>
    <w:rsid w:val="28E07827"/>
    <w:rsid w:val="28EE3B7A"/>
    <w:rsid w:val="29723C06"/>
    <w:rsid w:val="2C353615"/>
    <w:rsid w:val="2EA21F57"/>
    <w:rsid w:val="2F3778D8"/>
    <w:rsid w:val="37EA4052"/>
    <w:rsid w:val="38D217AC"/>
    <w:rsid w:val="3A722D35"/>
    <w:rsid w:val="3AB96533"/>
    <w:rsid w:val="3BA36C3A"/>
    <w:rsid w:val="3C0771AB"/>
    <w:rsid w:val="3F442F69"/>
    <w:rsid w:val="3F491A33"/>
    <w:rsid w:val="4085578B"/>
    <w:rsid w:val="422A4623"/>
    <w:rsid w:val="42860E60"/>
    <w:rsid w:val="46F000FE"/>
    <w:rsid w:val="48243705"/>
    <w:rsid w:val="4BB2021D"/>
    <w:rsid w:val="52621C9C"/>
    <w:rsid w:val="560E26E4"/>
    <w:rsid w:val="58D26539"/>
    <w:rsid w:val="5C4E02A8"/>
    <w:rsid w:val="60A874B8"/>
    <w:rsid w:val="61F95363"/>
    <w:rsid w:val="628E7FBB"/>
    <w:rsid w:val="65E635EE"/>
    <w:rsid w:val="664160E2"/>
    <w:rsid w:val="69B44C02"/>
    <w:rsid w:val="6EA660CE"/>
    <w:rsid w:val="6EF33947"/>
    <w:rsid w:val="71532365"/>
    <w:rsid w:val="71A0129C"/>
    <w:rsid w:val="73356739"/>
    <w:rsid w:val="73D65A1D"/>
    <w:rsid w:val="76507CD1"/>
    <w:rsid w:val="77667CE0"/>
    <w:rsid w:val="7A392F1E"/>
    <w:rsid w:val="7D172929"/>
    <w:rsid w:val="7D4D1B83"/>
    <w:rsid w:val="7FF657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2020-08-29T03:45:56Z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