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云南欧尚邦顿科技有限公司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李君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王旭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张鹏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900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zh-CN" w:eastAsia="zh-CN"/>
              </w:rPr>
              <w:t>需确认过程：销售服务过程，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查见《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JL-8.5-01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特殊过程确认表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》，对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过程从工作人员能力、设备能力、工作流程等方面进行了确认评价。确认结论：满足要求。确认人：贾晓东 毕永红 王鸷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时间:2020.3.10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新冠疫情、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instrText xml:space="preserve"> HYPERLINK "http://www.bzxzk.net/gjbz/27062014/132284.html" \t "http://www.bzxzk.net/e/search/result/_blank"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GBT2900.90-2012 电工术语 电工电子测量和仪器仪表 各类仪表的特殊术语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》、《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instrText xml:space="preserve"> HYPERLINK "http://www.bzxzk.net/gjbz/01032014/127207.html" \t "http://www.bzxzk.net/e/search/result/_blank" </w:instrTex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GBT28879-2012 电工仪器仪表产品型号编制方法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》、中华人民共和物权法、中华人民共和国合同法、中华人民共和国产品质量法；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云南省安全生产条例、云南省职业病防治条例、 云南省消防条例、云南省工伤保险条例、 云南省贯彻&lt;工伤保险条例&gt;实施办法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、环境监测管理办法、中华人民共和国环境噪声污染防治法、昆明市环境噪声污染防治管理办法、云南</w:t>
            </w:r>
            <w:bookmarkStart w:id="5" w:name="_GoBack"/>
            <w:bookmarkEnd w:id="5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省节约能源条例、云南省实施《中华人民共和国水法》办法、云南省消防条例、云南省大气污染防治条例 、昆明市城市垃圾管理办法(昆明市人民政府令第58号)等，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合规性评价， 评价人：王鸷  毕永红 贾晓东      日期：2020.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sz w:val="20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0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2020年8月26-28日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00DAB"/>
    <w:rsid w:val="17E60216"/>
    <w:rsid w:val="19E64200"/>
    <w:rsid w:val="23C455D1"/>
    <w:rsid w:val="285A23A2"/>
    <w:rsid w:val="2BAC3F0F"/>
    <w:rsid w:val="2E78724D"/>
    <w:rsid w:val="305154E8"/>
    <w:rsid w:val="31547872"/>
    <w:rsid w:val="35766EA9"/>
    <w:rsid w:val="43181FBF"/>
    <w:rsid w:val="6FBE4FBA"/>
    <w:rsid w:val="74E60E88"/>
    <w:rsid w:val="75C42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2020-08-28T10:00:17Z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