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云南欧尚邦顿科技有限公司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云南欧尚邦顿科技有限公司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云南省昆明经开区出口加工区第三城映象欣城B2幢11层1101室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云南省昆明经开区出口加工区第三城映象欣城B2幢11层1101室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贾晓东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15925186272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贾晓东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auchan_bd@163.com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 xml:space="preserve">2020-03-10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Q：仪器仪表及配件的销售</w:t>
            </w:r>
          </w:p>
          <w:p>
            <w:pPr>
              <w:spacing w:line="400" w:lineRule="exact"/>
              <w:rPr>
                <w:rFonts w:ascii="宋体" w:hAnsi="宋体"/>
                <w:b/>
                <w:color w:val="000000"/>
                <w:sz w:val="20"/>
                <w:szCs w:val="20"/>
              </w:rPr>
            </w:pPr>
            <w:r>
              <w:rPr>
                <w:rFonts w:ascii="宋体" w:hAnsi="宋体"/>
                <w:b/>
                <w:color w:val="000000"/>
                <w:sz w:val="20"/>
                <w:szCs w:val="20"/>
              </w:rPr>
              <w:t>E：仪器仪表及配件的销售及相关环境管理活动</w:t>
            </w:r>
          </w:p>
          <w:p>
            <w:pPr>
              <w:spacing w:line="400" w:lineRule="exact"/>
              <w:rPr>
                <w:rFonts w:ascii="宋体" w:hAnsi="宋体"/>
                <w:b/>
                <w:color w:val="000000"/>
                <w:sz w:val="20"/>
                <w:szCs w:val="20"/>
              </w:rPr>
            </w:pPr>
            <w:r>
              <w:rPr>
                <w:rFonts w:ascii="宋体" w:hAnsi="宋体"/>
                <w:b/>
                <w:color w:val="000000"/>
                <w:sz w:val="20"/>
                <w:szCs w:val="20"/>
              </w:rPr>
              <w:t>O：仪器仪表及配件的销售及相关职业健康安全管理活动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w:t>
            </w:r>
          </w:p>
          <w:p>
            <w:pPr>
              <w:spacing w:line="280" w:lineRule="exact"/>
              <w:rPr>
                <w:rFonts w:ascii="宋体"/>
                <w:b/>
                <w:color w:val="000000"/>
                <w:sz w:val="20"/>
                <w:szCs w:val="20"/>
              </w:rPr>
            </w:pPr>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u w:val="single"/>
          <w:lang w:eastAsia="zh-CN"/>
        </w:rPr>
        <w:t>手册、程序文件、管理评审、内审等；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部门：管理层、综合部（含财务）、销售部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各部门办公室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bookmarkStart w:id="25" w:name="_GoBack"/>
            <w:bookmarkEnd w:id="25"/>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Q：仪器仪表及配件的销售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E：仪器仪表及配件的销售及相关环境管理活动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O：仪器仪表及配件的销售及相关职业健康安全管理活动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公司部门设置：管理层、综合部（含财务）、销售部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900"/>
              </w:tabs>
              <w:spacing w:line="360" w:lineRule="auto"/>
              <w:jc w:val="left"/>
              <w:rPr>
                <w:rFonts w:ascii="宋体"/>
                <w:color w:val="000000"/>
                <w:sz w:val="20"/>
                <w:szCs w:val="20"/>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b/>
                <w:bCs/>
                <w:color w:val="auto"/>
                <w:sz w:val="21"/>
                <w:szCs w:val="21"/>
              </w:rPr>
              <w:t>销售流程</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
                <w:color w:val="auto"/>
                <w:sz w:val="21"/>
                <w:szCs w:val="21"/>
              </w:rPr>
              <w:t>客户接触----合同评审----签订合同-----客户付款------入帐------采购-----客户提货-----验收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lang w:eastAsia="zh-CN"/>
              </w:rPr>
              <w:t>汽车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日常维护保养包括对电脑的定期杀毒，车的定期保养、大中小修、定期年检。全部完好。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不涉及，有销售绩效考核。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b w:val="0"/>
                <w:bCs/>
                <w:color w:val="auto"/>
                <w:sz w:val="21"/>
                <w:szCs w:val="21"/>
                <w:lang w:val="en-US" w:eastAsia="zh-CN"/>
              </w:rPr>
              <w:t>火灾后发生的环境影响、包装物产生的固废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bookmarkStart w:id="24" w:name="企业人数"/>
            <w:r>
              <w:rPr>
                <w:b/>
                <w:color w:val="auto"/>
                <w:sz w:val="22"/>
                <w:szCs w:val="22"/>
              </w:rPr>
              <w:t>7</w:t>
            </w:r>
            <w:bookmarkEnd w:id="24"/>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8240" behindDoc="0" locked="0" layoutInCell="1" allowOverlap="1">
            <wp:simplePos x="0" y="0"/>
            <wp:positionH relativeFrom="column">
              <wp:posOffset>1872615</wp:posOffset>
            </wp:positionH>
            <wp:positionV relativeFrom="paragraph">
              <wp:posOffset>-82550</wp:posOffset>
            </wp:positionV>
            <wp:extent cx="626745" cy="274320"/>
            <wp:effectExtent l="0" t="0" r="1905" b="1143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hAnsi="宋体"/>
          <w:b/>
          <w:color w:val="000000"/>
        </w:rPr>
      </w:pPr>
    </w:p>
    <w:p>
      <w:pPr>
        <w:spacing w:line="480" w:lineRule="auto"/>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476885" cy="316865"/>
            <wp:effectExtent l="0" t="0" r="1841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634365" cy="269240"/>
            <wp:effectExtent l="0" t="0" r="13335" b="16510"/>
            <wp:docPr id="6"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55fab08e72c964295c924bd5977bacc"/>
                    <pic:cNvPicPr>
                      <a:picLocks noChangeAspect="1"/>
                    </pic:cNvPicPr>
                  </pic:nvPicPr>
                  <pic:blipFill>
                    <a:blip r:embed="rId8"/>
                    <a:stretch>
                      <a:fillRect/>
                    </a:stretch>
                  </pic:blipFill>
                  <pic:spPr>
                    <a:xfrm>
                      <a:off x="0" y="0"/>
                      <a:ext cx="634365" cy="269240"/>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ascii="宋体" w:hAnsi="宋体"/>
          <w:szCs w:val="21"/>
        </w:rPr>
        <w:drawing>
          <wp:inline distT="0" distB="0" distL="114300" distR="114300">
            <wp:extent cx="479425" cy="339090"/>
            <wp:effectExtent l="0" t="0" r="15875" b="3810"/>
            <wp:docPr id="5" name="图片 3"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ae27f13d4c00e77522a97fbea83b3a3"/>
                    <pic:cNvPicPr>
                      <a:picLocks noChangeAspect="1"/>
                    </pic:cNvPicPr>
                  </pic:nvPicPr>
                  <pic:blipFill>
                    <a:blip r:embed="rId9"/>
                    <a:stretch>
                      <a:fillRect/>
                    </a:stretch>
                  </pic:blipFill>
                  <pic:spPr>
                    <a:xfrm>
                      <a:off x="0" y="0"/>
                      <a:ext cx="479425" cy="339090"/>
                    </a:xfrm>
                    <a:prstGeom prst="rect">
                      <a:avLst/>
                    </a:prstGeom>
                    <a:noFill/>
                    <a:ln>
                      <a:noFill/>
                    </a:ln>
                  </pic:spPr>
                </pic:pic>
              </a:graphicData>
            </a:graphic>
          </wp:inline>
        </w:drawing>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2020年8月26日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 w:val="32"/>
          <w:szCs w:val="32"/>
          <w:lang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r>
        <w:rPr>
          <w:rFonts w:hint="eastAsia" w:eastAsia="隶书"/>
          <w:color w:val="000000"/>
          <w:sz w:val="32"/>
          <w:szCs w:val="32"/>
          <w:lang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573678"/>
    <w:rsid w:val="0ADF3765"/>
    <w:rsid w:val="0E804F21"/>
    <w:rsid w:val="10A3276C"/>
    <w:rsid w:val="11574039"/>
    <w:rsid w:val="124E3777"/>
    <w:rsid w:val="1344165B"/>
    <w:rsid w:val="16EE61E2"/>
    <w:rsid w:val="19726885"/>
    <w:rsid w:val="1B1F5720"/>
    <w:rsid w:val="1C3E1BA6"/>
    <w:rsid w:val="1D9B24C7"/>
    <w:rsid w:val="1FD70424"/>
    <w:rsid w:val="21B2391A"/>
    <w:rsid w:val="244C7B50"/>
    <w:rsid w:val="25550C4A"/>
    <w:rsid w:val="25E71780"/>
    <w:rsid w:val="2AB94874"/>
    <w:rsid w:val="314A2AD9"/>
    <w:rsid w:val="32605B7C"/>
    <w:rsid w:val="34382594"/>
    <w:rsid w:val="3E1F2BF2"/>
    <w:rsid w:val="498843AD"/>
    <w:rsid w:val="664E1911"/>
    <w:rsid w:val="6F541446"/>
    <w:rsid w:val="7530096D"/>
    <w:rsid w:val="7684776F"/>
    <w:rsid w:val="78303F3F"/>
    <w:rsid w:val="7A8047A9"/>
    <w:rsid w:val="7BF50E62"/>
    <w:rsid w:val="7CFC266F"/>
    <w:rsid w:val="7E7B5C3B"/>
    <w:rsid w:val="7ED07B67"/>
    <w:rsid w:val="7ED22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4"/>
    <w:qFormat/>
    <w:locked/>
    <w:uiPriority w:val="99"/>
    <w:rPr>
      <w:rFonts w:ascii="Times New Roman" w:hAnsi="Times New Roman" w:eastAsia="宋体" w:cs="Times New Roman"/>
      <w:sz w:val="18"/>
      <w:szCs w:val="18"/>
    </w:rPr>
  </w:style>
  <w:style w:type="character" w:customStyle="1" w:styleId="11">
    <w:name w:val="页眉 字符"/>
    <w:link w:val="2"/>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2020-08-29T03:42:41Z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