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493"/>
        <w:gridCol w:w="74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南京派格测控科技有限公司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中国(江苏)自由贸易试验区南京片区研创园团结路99号孵鹰大厦1272室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尹雪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17768112782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射频前端集成电路测试机的研发、生产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+远程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2020年08月20日 上午至2020年08月20日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审核员Q：</w:t>
            </w:r>
            <w:r>
              <w:rPr>
                <w:sz w:val="20"/>
                <w:szCs w:val="22"/>
              </w:rPr>
              <w:t>2019-N1QMS-1258213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审核员Q：</w:t>
            </w:r>
            <w:r>
              <w:rPr>
                <w:sz w:val="20"/>
                <w:szCs w:val="22"/>
              </w:rPr>
              <w:t>2020-N1QMS-1261927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胡信伟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18662203030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远程+现场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销售部(含仓库）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default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技术部（生产车间，研发，质检）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Q:6.2/7.1.3/7.1.4/7.1.5/8.1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/8.3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8.5.3/9.2</w:t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A5109"/>
    <w:rsid w:val="6D104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2020-08-19T08:34:47Z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