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大庆慧龙石油机械有限公司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0075-2017-2020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7-</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w:t>
            </w:r>
            <w:r>
              <w:rPr>
                <w:rFonts w:hint="eastAsia" w:ascii="宋体" w:hAnsi="宋体"/>
                <w:szCs w:val="21"/>
                <w:lang w:val="en-US" w:eastAsia="zh-CN"/>
              </w:rPr>
              <w:t>惠龙石油机械</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ISC-2017-0154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第3次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 w:val="15"/>
                <w:szCs w:val="15"/>
                <w:lang w:val="en-US" w:eastAsia="zh-CN"/>
              </w:rPr>
              <w:t>质检办，技术办，行政办，营销办，生产办（加工车间）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Cs w:val="21"/>
          <w:lang w:eastAsia="zh-CN"/>
        </w:rPr>
        <w:t>大庆慧龙石油机械</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szCs w:val="21"/>
          <w:lang w:eastAsia="zh-CN"/>
        </w:rPr>
        <w:t>大庆慧龙石油机械</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12</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10</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管理者代表朱永珍</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rFonts w:hint="eastAsia" w:eastAsiaTheme="minorEastAsia"/>
          <w:sz w:val="24"/>
          <w:szCs w:val="24"/>
          <w:shd w:val="clear" w:color="auto" w:fill="auto"/>
          <w:lang w:eastAsia="zh-CN"/>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，包括：企业对已识别的采油井口装置水压密封试验测量过程，按测量过程控制规范，进行了有效性监视。记录、监视控制图齐全，完整；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采油井口装置水压密封试验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，对公司的测量设备质量记录等进行了认真检查，加强了对测量设备质量记录</w:t>
      </w:r>
      <w:r>
        <w:rPr>
          <w:rFonts w:hint="eastAsia" w:ascii="宋体" w:cs="宋体"/>
          <w:color w:val="000000" w:themeColor="text1"/>
          <w:kern w:val="0"/>
          <w:sz w:val="24"/>
          <w:szCs w:val="24"/>
          <w:lang w:val="en-US" w:eastAsia="zh-CN"/>
        </w:rPr>
        <w:t>管理并受控，举一反三对公司相关</w:t>
      </w:r>
      <w:r>
        <w:rPr>
          <w:rFonts w:hint="eastAsia" w:ascii="宋体" w:hAnsi="宋体" w:cs="宋体"/>
          <w:kern w:val="0"/>
          <w:sz w:val="24"/>
          <w:szCs w:val="24"/>
          <w:lang w:val="en-US" w:eastAsia="zh-CN"/>
        </w:rPr>
        <w:t>测量设备质量记录</w:t>
      </w:r>
      <w:r>
        <w:rPr>
          <w:rFonts w:hint="eastAsia" w:ascii="宋体" w:cs="宋体"/>
          <w:color w:val="000000" w:themeColor="text1"/>
          <w:kern w:val="0"/>
          <w:sz w:val="24"/>
          <w:szCs w:val="24"/>
          <w:lang w:val="en-US" w:eastAsia="zh-CN"/>
        </w:rPr>
        <w:t>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宋体" w:hAnsi="宋体"/>
          <w:color w:val="000000" w:themeColor="text1"/>
          <w:sz w:val="24"/>
          <w:szCs w:val="24"/>
          <w:lang w:val="en-US" w:eastAsia="zh-CN"/>
        </w:rPr>
        <w:t>2019年度监督</w:t>
      </w:r>
      <w:r>
        <w:rPr>
          <w:rFonts w:hint="eastAsia" w:asciiTheme="minorEastAsia" w:hAnsiTheme="minorEastAsia"/>
          <w:bCs/>
          <w:sz w:val="24"/>
          <w:szCs w:val="24"/>
          <w:lang w:val="en-US" w:eastAsia="zh-CN"/>
        </w:rPr>
        <w:t>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0"/>
        </w:numPr>
        <w:snapToGrid w:val="0"/>
        <w:spacing w:line="360" w:lineRule="auto"/>
        <w:ind w:leftChars="0" w:right="-512" w:rightChars="-244" w:firstLine="480" w:firstLineChars="200"/>
        <w:rPr>
          <w:rFonts w:hint="eastAsia" w:ascii="宋体" w:hAnsi="宋体"/>
          <w:sz w:val="24"/>
          <w:szCs w:val="24"/>
          <w:highlight w:val="none"/>
          <w:shd w:val="clear" w:color="auto" w:fill="auto"/>
          <w:lang w:val="en-US" w:eastAsia="zh-CN"/>
        </w:rPr>
      </w:pPr>
      <w:r>
        <w:rPr>
          <w:rFonts w:hint="eastAsia" w:ascii="宋体" w:hAnsi="宋体"/>
          <w:sz w:val="24"/>
          <w:szCs w:val="24"/>
          <w:highlight w:val="none"/>
          <w:lang w:val="en-US" w:eastAsia="zh-CN"/>
        </w:rPr>
        <w:t>对企业组织任何变更的审核  组织无变更</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suppressLineNumbers w:val="0"/>
        <w:ind w:firstLine="720" w:firstLineChars="300"/>
        <w:jc w:val="left"/>
        <w:rPr>
          <w:rFonts w:hint="eastAsia" w:ascii="宋体" w:hAnsi="宋体"/>
          <w:sz w:val="24"/>
          <w:szCs w:val="24"/>
          <w:highlight w:val="none"/>
          <w:lang w:val="en-US" w:eastAsia="zh-CN"/>
        </w:rPr>
      </w:pPr>
      <w:r>
        <w:rPr>
          <w:rFonts w:hint="eastAsia" w:ascii="宋体" w:hAnsi="宋体"/>
          <w:sz w:val="24"/>
          <w:szCs w:val="24"/>
          <w:highlight w:val="none"/>
        </w:rPr>
        <w:t xml:space="preserve">本次审核共出具一般不符合项 </w:t>
      </w:r>
      <w:r>
        <w:rPr>
          <w:rFonts w:hint="eastAsia" w:ascii="宋体" w:hAnsi="宋体"/>
          <w:sz w:val="24"/>
          <w:szCs w:val="24"/>
          <w:highlight w:val="none"/>
          <w:lang w:val="en-US" w:eastAsia="zh-CN"/>
        </w:rPr>
        <w:t>1</w:t>
      </w:r>
      <w:r>
        <w:rPr>
          <w:rFonts w:hint="eastAsia" w:ascii="宋体" w:hAnsi="宋体"/>
          <w:sz w:val="24"/>
          <w:szCs w:val="24"/>
          <w:highlight w:val="none"/>
        </w:rPr>
        <w:t>项，未发现严重或系统性的不符合情况。</w:t>
      </w:r>
      <w:r>
        <w:rPr>
          <w:rFonts w:hint="eastAsia" w:ascii="宋体" w:hAnsi="宋体" w:cs="宋体"/>
          <w:kern w:val="0"/>
          <w:szCs w:val="21"/>
          <w:lang w:val="en-US" w:eastAsia="zh-CN"/>
        </w:rPr>
        <w:t>在生产车间工具室发现企业自检测量设备游标卡尺没有形成校验记录，不符合</w:t>
      </w:r>
      <w:r>
        <w:rPr>
          <w:rFonts w:ascii="宋体" w:hAnsi="宋体" w:cs="宋体"/>
          <w:kern w:val="0"/>
          <w:szCs w:val="21"/>
        </w:rPr>
        <w:t>___</w:t>
      </w:r>
      <w:r>
        <w:rPr>
          <w:rFonts w:hint="eastAsia" w:ascii="宋体" w:hAnsi="宋体" w:cs="宋体"/>
          <w:kern w:val="0"/>
          <w:szCs w:val="21"/>
        </w:rPr>
        <w:t>GB/T19022-2003标准</w:t>
      </w:r>
      <w:r>
        <w:rPr>
          <w:rFonts w:hint="eastAsia" w:ascii="宋体" w:hAnsi="宋体" w:cs="宋体"/>
          <w:kern w:val="0"/>
          <w:szCs w:val="21"/>
          <w:lang w:val="en-US" w:eastAsia="zh-CN"/>
        </w:rPr>
        <w:t>6.2.3记录</w:t>
      </w:r>
      <w:r>
        <w:rPr>
          <w:rFonts w:hint="eastAsia" w:ascii="宋体" w:hAnsi="宋体" w:cs="宋体"/>
          <w:kern w:val="0"/>
          <w:szCs w:val="21"/>
        </w:rPr>
        <w:t>条款</w:t>
      </w:r>
      <w:r>
        <w:rPr>
          <w:rFonts w:hint="eastAsia" w:ascii="宋体" w:hAnsi="宋体"/>
        </w:rPr>
        <w:t>。</w:t>
      </w:r>
      <w:r>
        <w:rPr>
          <w:rFonts w:hint="eastAsia" w:ascii="宋体" w:hAnsi="宋体"/>
          <w:lang w:eastAsia="zh-CN"/>
        </w:rPr>
        <w:t>（</w:t>
      </w:r>
      <w:r>
        <w:rPr>
          <w:rFonts w:hint="eastAsia" w:ascii="宋体" w:hAnsi="宋体" w:eastAsia="宋体" w:cs="宋体"/>
          <w:color w:val="000000"/>
          <w:kern w:val="0"/>
          <w:sz w:val="19"/>
          <w:szCs w:val="19"/>
          <w:lang w:val="en-US" w:eastAsia="zh-CN" w:bidi="ar"/>
        </w:rPr>
        <w:t>应保存测量管理体系运行所需信息的记录</w:t>
      </w:r>
      <w:r>
        <w:rPr>
          <w:rFonts w:hint="eastAsia" w:ascii="宋体" w:hAnsi="宋体"/>
          <w:lang w:eastAsia="zh-CN"/>
        </w:rPr>
        <w:t>）</w:t>
      </w:r>
      <w:r>
        <w:rPr>
          <w:rFonts w:hint="eastAsia" w:ascii="宋体" w:hAnsi="宋体"/>
          <w:lang w:val="en-US" w:eastAsia="zh-CN"/>
        </w:rPr>
        <w:t>不符合要求。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18</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Fonts w:hint="eastAsia" w:ascii="宋体" w:hAnsi="宋体" w:eastAsia="宋体"/>
          <w:szCs w:val="21"/>
          <w:lang w:eastAsia="zh-CN"/>
        </w:rPr>
        <w:t>大庆慧龙石油机械</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第3</w:t>
      </w:r>
      <w:bookmarkStart w:id="1" w:name="_GoBack"/>
      <w:bookmarkEnd w:id="1"/>
      <w:r>
        <w:rPr>
          <w:rStyle w:val="11"/>
          <w:rFonts w:hint="eastAsia" w:ascii="宋体" w:hAnsi="宋体" w:eastAsia="宋体"/>
          <w:sz w:val="24"/>
          <w:szCs w:val="24"/>
          <w:lang w:val="en-US" w:eastAsia="zh-CN"/>
        </w:rPr>
        <w:t>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ascii="宋体" w:hAnsi="宋体"/>
          <w:szCs w:val="21"/>
        </w:rPr>
        <w:t>用能单位的能源计量器具准确度等级</w:t>
      </w:r>
      <w:r>
        <w:rPr>
          <w:rFonts w:hint="eastAsia" w:ascii="宋体" w:hAnsi="宋体"/>
          <w:szCs w:val="21"/>
        </w:rPr>
        <w:t>：</w:t>
      </w:r>
      <w:r>
        <w:rPr>
          <w:rFonts w:hint="eastAsia"/>
          <w:szCs w:val="21"/>
        </w:rPr>
        <w:t>2.0级的三相四线电能表1块和2</w:t>
      </w:r>
      <w:r>
        <w:rPr>
          <w:rFonts w:hint="eastAsia"/>
          <w:szCs w:val="21"/>
          <w:lang w:val="en-US" w:eastAsia="zh-CN"/>
        </w:rPr>
        <w:t>.5</w:t>
      </w:r>
      <w:r>
        <w:rPr>
          <w:rFonts w:hint="eastAsia"/>
          <w:szCs w:val="21"/>
        </w:rPr>
        <w:t>级的水表1块，</w:t>
      </w:r>
      <w:r>
        <w:rPr>
          <w:rFonts w:ascii="宋体" w:hAnsi="宋体"/>
          <w:szCs w:val="21"/>
        </w:rPr>
        <w:t>满足GB17167标准4.3.8表4</w:t>
      </w:r>
      <w:r>
        <w:rPr>
          <w:rFonts w:hint="eastAsia" w:ascii="宋体" w:hAnsi="宋体"/>
          <w:szCs w:val="21"/>
        </w:rPr>
        <w:t>的</w:t>
      </w:r>
      <w:r>
        <w:rPr>
          <w:rFonts w:ascii="宋体" w:hAnsi="宋体"/>
          <w:szCs w:val="21"/>
        </w:rPr>
        <w:t>要求</w:t>
      </w:r>
      <w:r>
        <w:rPr>
          <w:rFonts w:hint="eastAsia"/>
          <w:szCs w:val="21"/>
        </w:rPr>
        <w:t xml:space="preserve">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足要求。综上所述，</w:t>
      </w:r>
      <w:r>
        <w:rPr>
          <w:rFonts w:hint="eastAsia" w:ascii="宋体" w:hAnsi="宋体"/>
          <w:sz w:val="24"/>
          <w:szCs w:val="24"/>
        </w:rPr>
        <w:t>审核组认为</w:t>
      </w:r>
      <w:r>
        <w:rPr>
          <w:rFonts w:hint="eastAsia" w:ascii="宋体" w:hAnsi="宋体"/>
          <w:szCs w:val="21"/>
          <w:lang w:eastAsia="zh-CN"/>
        </w:rPr>
        <w:t>大庆慧龙石油机械</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5A06FCA"/>
    <w:rsid w:val="0BF45514"/>
    <w:rsid w:val="0E8C5939"/>
    <w:rsid w:val="130160F5"/>
    <w:rsid w:val="138501A6"/>
    <w:rsid w:val="14575BEE"/>
    <w:rsid w:val="14EA6CB3"/>
    <w:rsid w:val="195A5F8B"/>
    <w:rsid w:val="1D5E1F47"/>
    <w:rsid w:val="1D9A2E7B"/>
    <w:rsid w:val="1DD97BCA"/>
    <w:rsid w:val="1E2774C7"/>
    <w:rsid w:val="23881FD2"/>
    <w:rsid w:val="246E16E9"/>
    <w:rsid w:val="267B10B4"/>
    <w:rsid w:val="27554591"/>
    <w:rsid w:val="28826509"/>
    <w:rsid w:val="2A55179D"/>
    <w:rsid w:val="308C462A"/>
    <w:rsid w:val="31DB01B3"/>
    <w:rsid w:val="365A3F08"/>
    <w:rsid w:val="36C43AD4"/>
    <w:rsid w:val="37774C67"/>
    <w:rsid w:val="3BB67694"/>
    <w:rsid w:val="3C9F7C5C"/>
    <w:rsid w:val="3EBB7FAC"/>
    <w:rsid w:val="3EC25B56"/>
    <w:rsid w:val="4024179D"/>
    <w:rsid w:val="452E2EEF"/>
    <w:rsid w:val="49C14E74"/>
    <w:rsid w:val="4A8A2F7C"/>
    <w:rsid w:val="4F757019"/>
    <w:rsid w:val="4FF60B62"/>
    <w:rsid w:val="51C16409"/>
    <w:rsid w:val="547533AA"/>
    <w:rsid w:val="55C92FC9"/>
    <w:rsid w:val="56896C6B"/>
    <w:rsid w:val="58082CF0"/>
    <w:rsid w:val="5896057E"/>
    <w:rsid w:val="5BA410AD"/>
    <w:rsid w:val="5C2C0776"/>
    <w:rsid w:val="5F1C7C1A"/>
    <w:rsid w:val="5FB81639"/>
    <w:rsid w:val="5FCA3BA5"/>
    <w:rsid w:val="61854963"/>
    <w:rsid w:val="61A667FC"/>
    <w:rsid w:val="67D506DB"/>
    <w:rsid w:val="693568F0"/>
    <w:rsid w:val="707F0D4F"/>
    <w:rsid w:val="74832446"/>
    <w:rsid w:val="74BF4AAE"/>
    <w:rsid w:val="786D4912"/>
    <w:rsid w:val="7AAE132C"/>
    <w:rsid w:val="7BAC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2020-08-18T05:28:15Z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