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中瑞税务师事务所集团有限公司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0022-2017-QEO-2020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曲晓莉</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2019-N1EMS-3042801</w:t>
            </w:r>
          </w:p>
          <w:p w:rsidR="009F508A">
            <w:pPr>
              <w:snapToGrid w:val="0"/>
              <w:spacing w:line="320" w:lineRule="exact"/>
              <w:ind w:left="1309"/>
              <w:rPr>
                <w:sz w:val="16"/>
                <w:szCs w:val="16"/>
              </w:rPr>
            </w:pPr>
            <w:r>
              <w:rPr>
                <w:sz w:val="16"/>
                <w:szCs w:val="16"/>
              </w:rPr>
              <w:t>2018-N1OHSMS-2042801</w:t>
            </w:r>
          </w:p>
          <w:p w:rsidR="009F508A">
            <w:pPr>
              <w:snapToGrid w:val="0"/>
              <w:spacing w:line="320" w:lineRule="exact"/>
              <w:ind w:left="1309"/>
              <w:rPr>
                <w:sz w:val="16"/>
                <w:szCs w:val="16"/>
              </w:rPr>
            </w:pPr>
            <w:r>
              <w:rPr>
                <w:sz w:val="16"/>
                <w:szCs w:val="16"/>
              </w:rPr>
              <w:t>北京国标联合认证有限公司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