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30"/>
        <w:gridCol w:w="2943"/>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836"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738"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北京燕美华服饰有限公司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Q：29.08.02</w:t>
            </w:r>
          </w:p>
          <w:p>
            <w:pPr>
              <w:snapToGrid w:val="0"/>
              <w:spacing w:line="280" w:lineRule="exact"/>
              <w:ind w:left="52"/>
              <w:jc w:val="center"/>
              <w:rPr>
                <w:b/>
                <w:sz w:val="20"/>
              </w:rPr>
            </w:pPr>
            <w:r>
              <w:rPr>
                <w:b/>
                <w:sz w:val="20"/>
              </w:rPr>
              <w:t>E：29.08.02</w:t>
            </w:r>
          </w:p>
          <w:p>
            <w:pPr>
              <w:snapToGrid w:val="0"/>
              <w:spacing w:line="280" w:lineRule="exact"/>
              <w:ind w:left="52"/>
              <w:jc w:val="center"/>
              <w:rPr>
                <w:b/>
                <w:sz w:val="20"/>
              </w:rPr>
            </w:pPr>
            <w:r>
              <w:rPr>
                <w:b/>
                <w:sz w:val="20"/>
              </w:rPr>
              <w:t>O：29.08.02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836" w:type="dxa"/>
            <w:gridSpan w:val="2"/>
            <w:vAlign w:val="center"/>
          </w:tcPr>
          <w:p>
            <w:pPr>
              <w:snapToGrid w:val="0"/>
              <w:spacing w:line="280" w:lineRule="exact"/>
              <w:jc w:val="center"/>
              <w:rPr>
                <w:b/>
                <w:sz w:val="22"/>
                <w:szCs w:val="22"/>
              </w:rPr>
            </w:pPr>
            <w:r>
              <w:rPr>
                <w:rFonts w:hint="eastAsia"/>
                <w:b/>
                <w:sz w:val="22"/>
                <w:szCs w:val="22"/>
              </w:rPr>
              <w:t>教师姓名</w:t>
            </w:r>
          </w:p>
        </w:tc>
        <w:tc>
          <w:tcPr>
            <w:tcW w:w="2943" w:type="dxa"/>
            <w:vAlign w:val="center"/>
          </w:tcPr>
          <w:p>
            <w:pPr>
              <w:snapToGrid w:val="0"/>
              <w:spacing w:line="280" w:lineRule="exact"/>
              <w:jc w:val="center"/>
              <w:rPr>
                <w:b/>
                <w:sz w:val="20"/>
              </w:rPr>
            </w:pPr>
            <w:r>
              <w:rPr>
                <w:rFonts w:hint="eastAsia"/>
                <w:b/>
                <w:sz w:val="20"/>
                <w:lang w:val="en-US" w:eastAsia="zh-CN"/>
              </w:rPr>
              <w:t>周涛</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Q：29.08.02</w:t>
            </w:r>
          </w:p>
          <w:p>
            <w:pPr>
              <w:snapToGrid w:val="0"/>
              <w:spacing w:line="280" w:lineRule="exact"/>
              <w:ind w:left="52"/>
              <w:jc w:val="center"/>
              <w:rPr>
                <w:b/>
                <w:sz w:val="20"/>
              </w:rPr>
            </w:pPr>
            <w:r>
              <w:rPr>
                <w:b/>
                <w:sz w:val="20"/>
              </w:rPr>
              <w:t>E：29.08.02</w:t>
            </w:r>
          </w:p>
          <w:p>
            <w:pPr>
              <w:snapToGrid w:val="0"/>
              <w:spacing w:line="280" w:lineRule="exact"/>
              <w:jc w:val="center"/>
              <w:rPr>
                <w:b/>
                <w:sz w:val="20"/>
              </w:rPr>
            </w:pPr>
            <w:r>
              <w:rPr>
                <w:b/>
                <w:sz w:val="20"/>
              </w:rPr>
              <w:t>O：29.08.02</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网络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06"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030" w:type="dxa"/>
            <w:vAlign w:val="center"/>
          </w:tcPr>
          <w:p>
            <w:pPr>
              <w:snapToGrid w:val="0"/>
              <w:jc w:val="center"/>
              <w:rPr>
                <w:b/>
                <w:sz w:val="20"/>
              </w:rPr>
            </w:pPr>
            <w:r>
              <w:rPr>
                <w:rFonts w:hint="eastAsia"/>
                <w:b/>
                <w:sz w:val="20"/>
              </w:rPr>
              <w:t>姓名</w:t>
            </w:r>
          </w:p>
        </w:tc>
        <w:tc>
          <w:tcPr>
            <w:tcW w:w="8837" w:type="dxa"/>
            <w:gridSpan w:val="5"/>
            <w:vAlign w:val="center"/>
          </w:tcPr>
          <w:p>
            <w:pPr>
              <w:snapToGrid w:val="0"/>
              <w:spacing w:line="360" w:lineRule="exact"/>
              <w:jc w:val="center"/>
              <w:rPr>
                <w:b/>
                <w:sz w:val="20"/>
              </w:rPr>
            </w:pPr>
            <w:r>
              <w:rPr>
                <w:rFonts w:hint="eastAsia"/>
                <w:b/>
                <w:sz w:val="20"/>
              </w:rPr>
              <w:t>李君、夏爱俭、周涛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06" w:type="dxa"/>
            <w:vMerge w:val="continue"/>
            <w:tcBorders>
              <w:left w:val="single" w:color="auto" w:sz="4" w:space="0"/>
            </w:tcBorders>
            <w:vAlign w:val="center"/>
          </w:tcPr>
          <w:p>
            <w:pPr>
              <w:snapToGrid w:val="0"/>
              <w:spacing w:line="360" w:lineRule="exact"/>
              <w:jc w:val="center"/>
              <w:rPr>
                <w:b/>
                <w:sz w:val="20"/>
              </w:rPr>
            </w:pPr>
          </w:p>
        </w:tc>
        <w:tc>
          <w:tcPr>
            <w:tcW w:w="1030" w:type="dxa"/>
            <w:vAlign w:val="center"/>
          </w:tcPr>
          <w:p>
            <w:pPr>
              <w:snapToGrid w:val="0"/>
              <w:spacing w:line="280" w:lineRule="exact"/>
              <w:jc w:val="center"/>
              <w:rPr>
                <w:b/>
                <w:sz w:val="20"/>
              </w:rPr>
            </w:pPr>
            <w:r>
              <w:rPr>
                <w:rFonts w:hint="eastAsia"/>
                <w:b/>
                <w:sz w:val="20"/>
              </w:rPr>
              <w:t>专业代码</w:t>
            </w:r>
          </w:p>
        </w:tc>
        <w:tc>
          <w:tcPr>
            <w:tcW w:w="8837" w:type="dxa"/>
            <w:gridSpan w:val="5"/>
            <w:vAlign w:val="center"/>
          </w:tcPr>
          <w:p>
            <w:pPr>
              <w:snapToGrid w:val="0"/>
              <w:spacing w:line="360" w:lineRule="exact"/>
              <w:jc w:val="center"/>
              <w:rPr>
                <w:rFonts w:hint="eastAsia" w:eastAsia="宋体"/>
                <w:b/>
                <w:sz w:val="20"/>
                <w:lang w:eastAsia="zh-CN"/>
              </w:rPr>
            </w:pPr>
            <w:r>
              <w:rPr>
                <w:rFonts w:hint="eastAsia"/>
                <w:b/>
                <w:sz w:val="20"/>
                <w:lang w:eastAsia="zh-CN"/>
              </w:rPr>
              <w:t>无</w:t>
            </w:r>
            <w:bookmarkStart w:id="6" w:name="_GoBack"/>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1836"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837" w:type="dxa"/>
            <w:gridSpan w:val="5"/>
            <w:vAlign w:val="center"/>
          </w:tcPr>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1、目标顾客寻找-顾客沟通-客户订单→采购→检验→出库→客户确认→售后服务。</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2、主要设备：销售信息登记电脑、仓库或货架、小推车、工作台、衣架、小剪刀、烫台、针线包等。</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3、管理人员经培训上岗，销售人员需经培训并对其能力进行考核确认后上岗；</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4、工作环境要求：库房应通风干燥并满足消防安全的要求；</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5、特殊过程：服饰销售服务过程。</w:t>
            </w:r>
          </w:p>
          <w:p>
            <w:pPr>
              <w:snapToGrid w:val="0"/>
              <w:spacing w:line="360" w:lineRule="exact"/>
              <w:jc w:val="left"/>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6、外包过程：服饰运输过程。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1836"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837" w:type="dxa"/>
            <w:gridSpan w:val="5"/>
            <w:vAlign w:val="center"/>
          </w:tcPr>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一供应商（制作工厂）风险：供应商对服装企业营销活动的影响主要体现在 供货的稳定性与及时性、供货的价格变动以及供货的质量水平。服装企业能否及时、安全地获取廉价而优质的产品，而不被竞争对手夺走自己稳定的产品供应直接影响着服装企业的整体营销活动。服装企业应力求主导供应商或能与其保持长期稳定的协作关系，不会因为产品供应价格、供应数量、供应质量、运输和交货等环节发生异常变动而影响企业营销活动的顺利开展，给企业造成损失。</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 二竞争风险：服装企业在营销过程中必须清楚市场上的竞争对手是谁，市场占有率是多少。竞争对手总有不断地抢占本企业市场份额的愿望，甚至会威胁到本企业的生存。企业间竞争大致可分为两类 价格竞争和非价格竞争。长久以来，价格竞争一直为服装企业所重视。很多服装企业都会利用节假日来进行打折促销活动，然而经常性的打折降价不仅会侵蚀企业的利润，也会损害品牌形象。而非价格竞争要求服装企业具有很好的产品设计能力、技术开发能力和品牌运营能力。在实际运营中，服装企业应结合具体情况，选择能发挥自身比较优势的竞争策略。</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 三顾客风险：顾客需求是服装企业制定营销策略的出发点和归宿。如果顾客对服装产品的质量、价格以及营销人员的服务不满意，就会减少或拒绝购买该企业的产品，并且极有可能通过口碑传播对企业营销产生更深层次的负面影响。营销人员是服装企业与消费者接触的直接环节，营销人员提供的服务将直接影响消费者的购物体验。服装企业在保证产品质量合格、价格合理的前提下，可以通过对营销人员开展营销技能、产品知识、企业文化等方面的培训，来提高营销人员的综合素质，降低企业的顾客风险。</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 四企业内部管理风险：任何一家服装企业的营销活动都不可能只由营销管理部门孤立地进行，营销活动的开展需要企业内部各个部门间的相互配合。各个部门的分工是否科学，协作是否和谐，目标是否一致，都会影响企业的营销管理决策和营销方案的实施。</w:t>
            </w:r>
          </w:p>
          <w:p>
            <w:pPr>
              <w:snapToGrid w:val="0"/>
              <w:spacing w:line="360" w:lineRule="exact"/>
              <w:jc w:val="lef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 因此，服装企业若想开展成功的营销，首先内部得建立完善的责任制度，以降低组织内部发生冲突的频率和强度。</w:t>
            </w:r>
          </w:p>
          <w:p>
            <w:pPr>
              <w:snapToGrid w:val="0"/>
              <w:spacing w:line="360" w:lineRule="exact"/>
              <w:jc w:val="left"/>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特殊过程的控制：对服饰销售服务过程进行确认。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836"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837" w:type="dxa"/>
            <w:gridSpan w:val="5"/>
            <w:vAlign w:val="center"/>
          </w:tcPr>
          <w:p>
            <w:pPr>
              <w:snapToGrid w:val="0"/>
              <w:spacing w:line="280" w:lineRule="exact"/>
              <w:jc w:val="both"/>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重要环境因素：潜在火灾</w:t>
            </w:r>
          </w:p>
          <w:p>
            <w:pPr>
              <w:snapToGrid w:val="0"/>
              <w:spacing w:line="280" w:lineRule="exact"/>
              <w:jc w:val="both"/>
              <w:rPr>
                <w:rFonts w:hint="default"/>
                <w:b/>
                <w:sz w:val="20"/>
                <w:lang w:val="en-US" w:eastAsia="zh-CN"/>
              </w:rPr>
            </w:pPr>
            <w:r>
              <w:rPr>
                <w:rFonts w:hint="eastAsia" w:ascii="Times New Roman" w:hAnsi="Times New Roman" w:cs="Times New Roman"/>
                <w:color w:val="auto"/>
                <w:sz w:val="18"/>
                <w:szCs w:val="18"/>
                <w:lang w:val="en-US" w:eastAsia="zh-CN"/>
              </w:rPr>
              <w:t>控制措施：制定应急预案、平时定期检查。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836"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837" w:type="dxa"/>
            <w:gridSpan w:val="5"/>
            <w:vAlign w:val="center"/>
          </w:tcPr>
          <w:p>
            <w:pPr>
              <w:snapToGrid w:val="0"/>
              <w:spacing w:line="280" w:lineRule="exact"/>
              <w:jc w:val="both"/>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不可接受风险：潜在火灾、新冠疫情</w:t>
            </w:r>
          </w:p>
          <w:p>
            <w:pPr>
              <w:snapToGrid w:val="0"/>
              <w:spacing w:line="280" w:lineRule="exact"/>
              <w:jc w:val="both"/>
              <w:rPr>
                <w:b/>
                <w:sz w:val="20"/>
              </w:rPr>
            </w:pPr>
            <w:r>
              <w:rPr>
                <w:rFonts w:hint="eastAsia" w:ascii="Times New Roman" w:hAnsi="Times New Roman" w:cs="Times New Roman"/>
                <w:color w:val="auto"/>
                <w:sz w:val="18"/>
                <w:szCs w:val="18"/>
                <w:lang w:val="en-US" w:eastAsia="zh-CN"/>
              </w:rPr>
              <w:t>控制措施：制定应急预案、平时定期检查。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836"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837" w:type="dxa"/>
            <w:gridSpan w:val="5"/>
            <w:vAlign w:val="center"/>
          </w:tcPr>
          <w:p>
            <w:pPr>
              <w:snapToGrid w:val="0"/>
              <w:spacing w:line="280" w:lineRule="exact"/>
              <w:jc w:val="both"/>
              <w:rPr>
                <w:rFonts w:hint="default"/>
                <w:b/>
                <w:sz w:val="20"/>
                <w:lang w:val="en-US"/>
              </w:rPr>
            </w:pPr>
            <w:r>
              <w:rPr>
                <w:rFonts w:hint="eastAsia" w:ascii="Times New Roman" w:hAnsi="Times New Roman" w:cs="Times New Roman"/>
                <w:color w:val="auto"/>
                <w:sz w:val="18"/>
                <w:szCs w:val="18"/>
                <w:lang w:val="en-US" w:eastAsia="zh-CN"/>
              </w:rPr>
              <w:t>中华人民共和国产品质量法、《中华人民共和国消费者权益保护法》、中华人民共和国固体废物污染环境防治法、城市生活垃圾管理办法、FZ/T24002-93《中华人民共和国纺织行业标准 精梳毛织品》、FZ/T01053-1998《中华人民共和国标准 纺织品纤维含量的标识》、GB5296.4-87《中华人民共和国标准 消费品使用说明  纺织品和服装使用说明书》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836"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837" w:type="dxa"/>
            <w:gridSpan w:val="5"/>
            <w:vAlign w:val="center"/>
          </w:tcPr>
          <w:p>
            <w:pPr>
              <w:snapToGrid w:val="0"/>
              <w:spacing w:line="280" w:lineRule="exact"/>
              <w:ind w:firstLine="4216" w:firstLineChars="2100"/>
              <w:jc w:val="both"/>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836"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837"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ascii="宋体"/>
          <w:b/>
          <w:spacing w:val="-6"/>
          <w:sz w:val="20"/>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hint="eastAsia" w:ascii="宋体"/>
          <w:b/>
          <w:sz w:val="22"/>
          <w:szCs w:val="22"/>
          <w:lang w:val="en-US" w:eastAsia="zh-CN"/>
        </w:rPr>
        <w:t xml:space="preserve">周涛   </w:t>
      </w:r>
      <w:r>
        <w:rPr>
          <w:rFonts w:hint="eastAsia" w:ascii="宋体"/>
          <w:b/>
          <w:sz w:val="22"/>
          <w:szCs w:val="22"/>
        </w:rPr>
        <w:t xml:space="preserve"> </w:t>
      </w:r>
      <w:r>
        <w:rPr>
          <w:rFonts w:hint="eastAsia" w:ascii="宋体"/>
          <w:b/>
          <w:sz w:val="22"/>
          <w:szCs w:val="22"/>
          <w:lang w:val="en-US" w:eastAsia="zh-CN"/>
        </w:rPr>
        <w:t xml:space="preserve">     </w:t>
      </w:r>
      <w:r>
        <w:rPr>
          <w:rFonts w:hint="eastAsia" w:ascii="宋体"/>
          <w:b/>
          <w:sz w:val="22"/>
          <w:szCs w:val="22"/>
        </w:rPr>
        <w:t>审核组长：</w:t>
      </w:r>
      <w:r>
        <w:rPr>
          <w:rFonts w:hint="eastAsia" w:ascii="宋体"/>
          <w:b/>
          <w:sz w:val="22"/>
          <w:szCs w:val="22"/>
          <w:lang w:eastAsia="zh-CN"/>
        </w:rPr>
        <w:t>王志慧</w:t>
      </w:r>
      <w:r>
        <w:rPr>
          <w:rFonts w:hint="eastAsia" w:ascii="宋体"/>
          <w:b/>
          <w:sz w:val="22"/>
          <w:szCs w:val="22"/>
        </w:rPr>
        <w:t xml:space="preserve">  </w:t>
      </w:r>
      <w:r>
        <w:rPr>
          <w:rFonts w:hint="eastAsia" w:ascii="宋体"/>
          <w:b/>
          <w:sz w:val="22"/>
          <w:szCs w:val="22"/>
          <w:lang w:val="en-US" w:eastAsia="zh-CN"/>
        </w:rPr>
        <w:t xml:space="preserve">         </w:t>
      </w:r>
      <w:r>
        <w:rPr>
          <w:rFonts w:hint="eastAsia" w:ascii="宋体"/>
          <w:b/>
          <w:sz w:val="22"/>
          <w:szCs w:val="22"/>
        </w:rPr>
        <w:t xml:space="preserve"> 日期： </w:t>
      </w:r>
      <w:r>
        <w:rPr>
          <w:rFonts w:hint="eastAsia" w:ascii="宋体"/>
          <w:b/>
          <w:sz w:val="22"/>
          <w:szCs w:val="22"/>
          <w:lang w:val="en-US" w:eastAsia="zh-CN"/>
        </w:rPr>
        <w:t>2020.8.23</w:t>
      </w:r>
      <w:r>
        <w:rPr>
          <w:rFonts w:hint="eastAsia" w:ascii="宋体"/>
          <w:b/>
          <w:sz w:val="22"/>
          <w:szCs w:val="22"/>
        </w:rPr>
        <w:t xml:space="preserve">                 </w:t>
      </w: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A7C3EDF"/>
    <w:rsid w:val="11E16D81"/>
    <w:rsid w:val="13547AEF"/>
    <w:rsid w:val="258A123B"/>
    <w:rsid w:val="30B81CAA"/>
    <w:rsid w:val="47F94FD5"/>
    <w:rsid w:val="5B7E5032"/>
    <w:rsid w:val="602B48D5"/>
    <w:rsid w:val="74895D6A"/>
    <w:rsid w:val="7A1301A8"/>
    <w:rsid w:val="7ACC2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Joyce</cp:lastModifiedBy>
  <dcterms:modified xsi:type="dcterms:W3CDTF">2020-08-30T02:09:17Z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