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天津市优佳宜食品贸易有限公司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王旭</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Q:29.14.07</w:t>
            </w:r>
          </w:p>
          <w:p>
            <w:pPr>
              <w:spacing w:line="240" w:lineRule="exact"/>
              <w:jc w:val="center"/>
              <w:rPr>
                <w:b/>
                <w:color w:val="000000" w:themeColor="text1"/>
                <w:sz w:val="20"/>
                <w:szCs w:val="20"/>
              </w:rPr>
            </w:pPr>
            <w:r>
              <w:rPr>
                <w:b/>
                <w:color w:val="000000" w:themeColor="text1"/>
                <w:sz w:val="20"/>
                <w:szCs w:val="20"/>
              </w:rPr>
              <w:t>E:29.14.07</w:t>
            </w:r>
          </w:p>
          <w:p>
            <w:pPr>
              <w:spacing w:line="240" w:lineRule="exact"/>
              <w:jc w:val="center"/>
              <w:rPr>
                <w:b/>
                <w:color w:val="000000" w:themeColor="text1"/>
                <w:sz w:val="20"/>
                <w:szCs w:val="20"/>
              </w:rPr>
            </w:pPr>
            <w:r>
              <w:rPr>
                <w:b/>
                <w:color w:val="000000" w:themeColor="text1"/>
                <w:sz w:val="20"/>
                <w:szCs w:val="20"/>
              </w:rPr>
              <w:t>O:29.14.07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天津市优佳宜食品贸易有限公司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天津市红桥区西站前街1号天津西站高架层左侧小件及存处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300122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天津市红桥区西站前街1号天津西站高架层左侧小件及存处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300122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冯强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16603803423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冯强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冯强</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孙曼</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Q：预包装食品销售（限许可范围内)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E：预包装食品销售（限许可范围内)及相关环境管理活动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O：预包装食品销售（限许可范围内)及相关职业健康安全管理活动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Q：29.14.07</w:t>
            </w:r>
          </w:p>
          <w:p>
            <w:pPr>
              <w:spacing w:line="320" w:lineRule="exact"/>
              <w:rPr>
                <w:rFonts w:ascii="宋体" w:hAnsi="宋体"/>
                <w:b/>
                <w:color w:val="000000" w:themeColor="text1"/>
                <w:sz w:val="20"/>
                <w:szCs w:val="20"/>
              </w:rPr>
            </w:pPr>
            <w:r>
              <w:rPr>
                <w:rFonts w:ascii="宋体" w:hAnsi="宋体"/>
                <w:b/>
                <w:color w:val="000000" w:themeColor="text1"/>
                <w:sz w:val="20"/>
                <w:szCs w:val="20"/>
              </w:rPr>
              <w:t>E：29.14.07</w:t>
            </w:r>
          </w:p>
          <w:p>
            <w:pPr>
              <w:spacing w:line="320" w:lineRule="exact"/>
              <w:rPr>
                <w:rFonts w:ascii="宋体" w:hAnsi="宋体"/>
                <w:b/>
                <w:color w:val="000000" w:themeColor="text1"/>
                <w:sz w:val="20"/>
                <w:szCs w:val="20"/>
              </w:rPr>
            </w:pPr>
            <w:r>
              <w:rPr>
                <w:rFonts w:ascii="宋体" w:hAnsi="宋体"/>
                <w:b/>
                <w:color w:val="000000" w:themeColor="text1"/>
                <w:sz w:val="20"/>
                <w:szCs w:val="20"/>
              </w:rPr>
              <w:t>O：29.14.07</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color w:val="auto"/>
                <w:szCs w:val="22"/>
              </w:rPr>
              <w:t>20</w:t>
            </w:r>
            <w:r>
              <w:rPr>
                <w:color w:val="auto"/>
                <w:szCs w:val="22"/>
              </w:rPr>
              <w:t>20</w:t>
            </w:r>
            <w:r>
              <w:rPr>
                <w:rFonts w:hint="eastAsia"/>
                <w:color w:val="auto"/>
                <w:szCs w:val="22"/>
              </w:rPr>
              <w:t>年</w:t>
            </w:r>
            <w:r>
              <w:rPr>
                <w:color w:val="auto"/>
                <w:szCs w:val="22"/>
              </w:rPr>
              <w:t>3</w:t>
            </w:r>
            <w:r>
              <w:rPr>
                <w:rFonts w:hint="eastAsia"/>
                <w:color w:val="auto"/>
                <w:szCs w:val="22"/>
              </w:rPr>
              <w:t>月</w:t>
            </w:r>
            <w:r>
              <w:rPr>
                <w:color w:val="auto"/>
                <w:szCs w:val="22"/>
              </w:rPr>
              <w:t>10</w:t>
            </w:r>
            <w:r>
              <w:rPr>
                <w:rFonts w:hint="eastAsia"/>
                <w:color w:val="auto"/>
                <w:szCs w:val="22"/>
                <w:lang w:eastAsia="zh-CN"/>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kern w:val="2"/>
                <w:sz w:val="20"/>
                <w:szCs w:val="20"/>
                <w:lang w:val="en-US" w:eastAsia="zh-CN" w:bidi="ar"/>
              </w:rPr>
              <w:t>综合部</w:t>
            </w:r>
            <w:r>
              <w:rPr>
                <w:rFonts w:hint="eastAsia" w:ascii="宋体" w:hAnsi="宋体" w:eastAsia="宋体" w:cs="宋体"/>
                <w:kern w:val="2"/>
                <w:sz w:val="21"/>
                <w:szCs w:val="21"/>
                <w:lang w:val="en-US" w:eastAsia="zh-CN" w:bidi="ar"/>
              </w:rPr>
              <w:t>（含财务）</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ascii="宋体" w:hAnsi="宋体"/>
                <w:b/>
                <w:color w:val="000000" w:themeColor="text1"/>
                <w:spacing w:val="-20"/>
                <w:sz w:val="20"/>
                <w:szCs w:val="20"/>
                <w:u w:val="single"/>
              </w:rPr>
            </w:pPr>
            <w:r>
              <w:rPr>
                <w:rFonts w:hint="eastAsia" w:ascii="宋体" w:hAnsi="宋体" w:eastAsia="宋体" w:cs="宋体"/>
                <w:kern w:val="2"/>
                <w:sz w:val="21"/>
                <w:szCs w:val="21"/>
                <w:lang w:val="en-US" w:eastAsia="zh-CN" w:bidi="ar"/>
              </w:rPr>
              <w:t>目标管理方案,与管理过程控制；人力资源；文件记录控制；内外部信息交流过程；内审管理、与顾客有关的要求、评审变更及顾客满意，质量、环境职业健康安全管理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color w:val="auto"/>
                <w:kern w:val="2"/>
                <w:sz w:val="20"/>
                <w:szCs w:val="20"/>
                <w:lang w:val="en-US" w:eastAsia="zh-CN" w:bidi="ar"/>
              </w:rPr>
              <w:t>销售部</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ascii="宋体" w:hAnsi="宋体"/>
                <w:b/>
                <w:color w:val="000000" w:themeColor="text1"/>
                <w:spacing w:val="-20"/>
                <w:sz w:val="20"/>
                <w:szCs w:val="20"/>
                <w:u w:val="single"/>
              </w:rPr>
            </w:pPr>
            <w:r>
              <w:rPr>
                <w:rFonts w:hint="eastAsia" w:ascii="宋体" w:hAnsi="宋体" w:eastAsia="宋体" w:cs="宋体"/>
                <w:color w:val="auto"/>
                <w:kern w:val="2"/>
                <w:sz w:val="21"/>
                <w:szCs w:val="21"/>
                <w:lang w:val="en-US" w:eastAsia="zh-CN" w:bidi="ar"/>
              </w:rPr>
              <w:t>策划、实施、放行、交付</w:t>
            </w:r>
            <w:r>
              <w:rPr>
                <w:rFonts w:hint="eastAsia" w:ascii="宋体" w:hAnsi="宋体" w:cs="宋体"/>
                <w:color w:val="auto"/>
                <w:kern w:val="2"/>
                <w:sz w:val="21"/>
                <w:szCs w:val="21"/>
                <w:lang w:val="en-US" w:eastAsia="zh-CN" w:bidi="ar"/>
              </w:rPr>
              <w:t>、与客户有关的</w:t>
            </w:r>
            <w:r>
              <w:rPr>
                <w:rFonts w:hint="eastAsia" w:ascii="宋体" w:hAnsi="宋体" w:eastAsia="宋体" w:cs="宋体"/>
                <w:color w:val="auto"/>
                <w:kern w:val="2"/>
                <w:sz w:val="21"/>
                <w:szCs w:val="21"/>
                <w:lang w:val="en-US" w:eastAsia="zh-CN" w:bidi="ar"/>
              </w:rPr>
              <w:t>质量、环境、安全职业健康安全管理活动安全运行控制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color w:val="auto"/>
                <w:kern w:val="2"/>
                <w:sz w:val="21"/>
                <w:szCs w:val="21"/>
                <w:lang w:val="en-US" w:eastAsia="zh-CN" w:bidi="ar"/>
              </w:rPr>
              <w:t>管理层</w:t>
            </w:r>
          </w:p>
        </w:tc>
        <w:tc>
          <w:tcPr>
            <w:tcW w:w="6804" w:type="dxa"/>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与管理层有关的质量、环境、安全职业健康安全管理活动</w:t>
            </w:r>
          </w:p>
          <w:p>
            <w:pPr>
              <w:keepNext w:val="0"/>
              <w:keepLines w:val="0"/>
              <w:widowControl w:val="0"/>
              <w:suppressLineNumbers w:val="0"/>
              <w:snapToGrid w:val="0"/>
              <w:spacing w:before="0" w:beforeAutospacing="0" w:after="0" w:afterAutospacing="0" w:line="260" w:lineRule="exact"/>
              <w:ind w:left="0" w:leftChars="0" w:right="0" w:rightChars="0"/>
              <w:jc w:val="left"/>
              <w:rPr>
                <w:rFonts w:ascii="宋体" w:hAnsi="宋体"/>
                <w:b/>
                <w:color w:val="000000" w:themeColor="text1"/>
                <w:spacing w:val="-20"/>
                <w:sz w:val="20"/>
                <w:szCs w:val="20"/>
                <w:u w:val="single"/>
              </w:rPr>
            </w:pPr>
            <w:r>
              <w:rPr>
                <w:rFonts w:hint="eastAsia" w:ascii="宋体" w:hAnsi="宋体" w:eastAsia="宋体" w:cs="宋体"/>
                <w:color w:val="auto"/>
                <w:kern w:val="2"/>
                <w:sz w:val="21"/>
                <w:szCs w:val="21"/>
                <w:lang w:val="en-US" w:eastAsia="zh-CN" w:bidi="ar"/>
              </w:rPr>
              <w:t>资质验证/范围再确认/一阶段问题验证/投诉或事故/政府主管部门监督抽查情况。</w:t>
            </w:r>
            <w:r>
              <w:rPr>
                <w:rFonts w:hint="eastAsia" w:ascii="宋体" w:hAnsi="宋体" w:cs="宋体"/>
                <w:b/>
                <w:bCs/>
                <w:color w:val="auto"/>
                <w:kern w:val="2"/>
                <w:sz w:val="21"/>
                <w:szCs w:val="21"/>
                <w:lang w:val="en-US" w:eastAsia="zh-CN" w:bidi="ar"/>
              </w:rPr>
              <w:t>Q8.3不适用条款确认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keepNext w:val="0"/>
              <w:keepLines w:val="0"/>
              <w:widowControl w:val="0"/>
              <w:suppressLineNumbers w:val="0"/>
              <w:spacing w:before="0" w:beforeAutospacing="0" w:after="0" w:afterAutospacing="0" w:line="300" w:lineRule="exact"/>
              <w:ind w:left="0" w:leftChars="0" w:right="0" w:rightChars="0"/>
              <w:jc w:val="both"/>
              <w:rPr>
                <w:rFonts w:ascii="宋体" w:hAnsi="宋体"/>
                <w:b/>
                <w:color w:val="000000" w:themeColor="text1"/>
                <w:sz w:val="20"/>
                <w:szCs w:val="20"/>
              </w:rPr>
            </w:pPr>
            <w:r>
              <w:rPr>
                <w:rFonts w:hint="eastAsia" w:ascii="宋体" w:hAnsi="宋体" w:eastAsia="宋体" w:cs="宋体"/>
                <w:kern w:val="2"/>
                <w:sz w:val="21"/>
                <w:szCs w:val="21"/>
                <w:lang w:val="en-US" w:eastAsia="zh-CN" w:bidi="ar"/>
              </w:rPr>
              <w:t>员工代表</w:t>
            </w:r>
          </w:p>
        </w:tc>
        <w:tc>
          <w:tcPr>
            <w:tcW w:w="6804" w:type="dxa"/>
            <w:vAlign w:val="top"/>
          </w:tcPr>
          <w:p>
            <w:pPr>
              <w:keepNext w:val="0"/>
              <w:keepLines w:val="0"/>
              <w:widowControl w:val="0"/>
              <w:suppressLineNumbers w:val="0"/>
              <w:spacing w:before="0" w:beforeAutospacing="0" w:after="0" w:afterAutospacing="0" w:line="300" w:lineRule="exact"/>
              <w:ind w:left="0" w:right="0"/>
              <w:jc w:val="both"/>
              <w:rPr>
                <w:rFonts w:ascii="宋体" w:hAnsi="宋体"/>
                <w:b/>
                <w:color w:val="000000" w:themeColor="text1"/>
                <w:spacing w:val="-20"/>
                <w:sz w:val="20"/>
                <w:szCs w:val="20"/>
                <w:u w:val="single"/>
              </w:rPr>
            </w:pPr>
            <w:r>
              <w:rPr>
                <w:rFonts w:hint="eastAsia" w:ascii="宋体" w:hAnsi="宋体" w:eastAsia="宋体" w:cs="宋体"/>
                <w:kern w:val="2"/>
                <w:sz w:val="21"/>
                <w:szCs w:val="21"/>
                <w:lang w:val="en-US" w:eastAsia="zh-CN" w:bidi="ar"/>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7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产品名称/服务名称</w:t>
            </w:r>
          </w:p>
        </w:tc>
        <w:tc>
          <w:tcPr>
            <w:tcW w:w="7905" w:type="dxa"/>
          </w:tcPr>
          <w:p>
            <w:pPr>
              <w:jc w:val="cente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Q：预包装食品销售（限许可范围内)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E：预包装食品销售（限许可范围内)及相关环境管理活动</w:t>
            </w:r>
          </w:p>
          <w:p>
            <w:pPr>
              <w:rPr>
                <w:b/>
                <w:color w:val="000000" w:themeColor="text1"/>
                <w:sz w:val="20"/>
                <w:szCs w:val="20"/>
              </w:rPr>
            </w:pPr>
            <w:r>
              <w:rPr>
                <w:rFonts w:ascii="宋体" w:hAnsi="宋体"/>
                <w:b/>
                <w:color w:val="000000" w:themeColor="text1"/>
                <w:sz w:val="20"/>
                <w:szCs w:val="20"/>
              </w:rPr>
              <w:t>O：预包装食品销售（限许可范围内)及相关职业健康安全管理活动</w:t>
            </w:r>
          </w:p>
        </w:tc>
        <w:tc>
          <w:tcPr>
            <w:tcW w:w="7905" w:type="dxa"/>
          </w:tcPr>
          <w:p>
            <w:pPr>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中华人民共和国食品安全法、中华人民共和国食品计量法、、《中华人民共和国消费者权益保护法》、中华人民共和国固体废物污染环境防治法、城市生活垃圾管理办法、《食品经营许可管理办法》、《食用农产品市场销售质量安全监督管理办法》、《食品生产经营日常监督检查管理办法》、《网络餐饮服务食品安全监督管理办法》、《网络食品安全违法行为查处办法》,《餐饮服务食品安全操作规范》、中华人民共和国安全生产法、天津市市场监督管理委员会关于发布《天津市食品经营者食品安全主体责任清单》的通告、GB7718-2018预包装食品标签通则</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color w:val="auto"/>
          <w:szCs w:val="22"/>
        </w:rPr>
        <w:t>20</w:t>
      </w:r>
      <w:r>
        <w:rPr>
          <w:color w:val="auto"/>
          <w:szCs w:val="22"/>
        </w:rPr>
        <w:t>20</w:t>
      </w:r>
      <w:r>
        <w:rPr>
          <w:rFonts w:hint="eastAsia"/>
          <w:color w:val="auto"/>
          <w:szCs w:val="22"/>
        </w:rPr>
        <w:t>年</w:t>
      </w:r>
      <w:r>
        <w:rPr>
          <w:color w:val="auto"/>
          <w:szCs w:val="22"/>
        </w:rPr>
        <w:t>3</w:t>
      </w:r>
      <w:r>
        <w:rPr>
          <w:rFonts w:hint="eastAsia"/>
          <w:color w:val="auto"/>
          <w:szCs w:val="22"/>
        </w:rPr>
        <w:t>月</w:t>
      </w:r>
      <w:r>
        <w:rPr>
          <w:color w:val="auto"/>
          <w:szCs w:val="22"/>
        </w:rPr>
        <w:t>10</w:t>
      </w:r>
      <w:r>
        <w:rPr>
          <w:rFonts w:hint="eastAsia"/>
          <w:color w:val="auto"/>
          <w:szCs w:val="22"/>
          <w:lang w:eastAsia="zh-CN"/>
        </w:rPr>
        <w:t>日</w:t>
      </w:r>
      <w:r>
        <w:rPr>
          <w:rFonts w:hint="eastAsia"/>
          <w:b/>
          <w:color w:val="000000" w:themeColor="text1"/>
          <w:spacing w:val="-10"/>
          <w:szCs w:val="21"/>
        </w:rPr>
        <w:t>至</w:t>
      </w:r>
      <w:r>
        <w:rPr>
          <w:rFonts w:hint="eastAsia"/>
          <w:b/>
          <w:color w:val="000000" w:themeColor="text1"/>
          <w:spacing w:val="-10"/>
          <w:szCs w:val="21"/>
          <w:lang w:eastAsia="zh-CN"/>
        </w:rPr>
        <w:t>今</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before="156" w:beforeLines="50"/>
              <w:ind w:firstLine="420" w:firstLineChars="200"/>
              <w:rPr>
                <w:rFonts w:cs="宋体"/>
                <w:color w:val="auto"/>
              </w:rPr>
            </w:pPr>
            <w:r>
              <w:rPr>
                <w:rFonts w:cs="宋体"/>
                <w:color w:val="auto"/>
              </w:rPr>
              <w:t>受审核方</w:t>
            </w:r>
            <w:r>
              <w:rPr>
                <w:rFonts w:hint="eastAsia" w:cs="宋体"/>
                <w:color w:val="auto"/>
              </w:rPr>
              <w:t xml:space="preserve">天津市优佳宜食品贸易有限公司经历10余年发展，形成了当地包装食品行业的优秀代表。公司地址：天津市东丽开发区先锋东路2号院内3号库房 </w:t>
            </w:r>
          </w:p>
          <w:p>
            <w:pPr>
              <w:spacing w:before="156" w:beforeLines="50"/>
              <w:rPr>
                <w:rFonts w:cs="宋体"/>
                <w:color w:val="auto"/>
              </w:rPr>
            </w:pPr>
            <w:r>
              <w:rPr>
                <w:rFonts w:hint="eastAsia" w:cs="宋体"/>
                <w:color w:val="auto"/>
              </w:rPr>
              <w:t xml:space="preserve">国内国际市场：公司隶属食品行业的优秀代表。公司的顾客遍布全国各地，竞争对手主要是国内企业。 </w:t>
            </w:r>
          </w:p>
          <w:p>
            <w:pPr>
              <w:spacing w:before="156" w:beforeLines="50"/>
            </w:pPr>
            <w:r>
              <w:rPr>
                <w:rFonts w:hint="eastAsia" w:cs="宋体"/>
                <w:color w:val="auto"/>
              </w:rPr>
              <w:t>法律法规：公司地处天津市，在环境和职业健康安全方面应符合国家的环境和安全法律法规要求。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spacing w:before="156" w:beforeLines="50"/>
              <w:ind w:firstLine="420" w:firstLineChars="200"/>
              <w:rPr>
                <w:rFonts w:hint="eastAsia" w:cs="宋体"/>
                <w:color w:val="auto"/>
              </w:rPr>
            </w:pPr>
            <w:r>
              <w:rPr>
                <w:rFonts w:hint="eastAsia" w:cs="宋体"/>
                <w:color w:val="auto"/>
              </w:rPr>
              <w:t>公司编制了《组织环境分析报告》，以理解相关方的需求和期望以便帮助本公司更好的建立清晰的方针和目标，做到目的明确；由于相关方对企业持续提供符合顾客要求和适用法律法规要求的产品和服务的能力产生影响或潜在影响，因此，公司确定</w:t>
            </w:r>
            <w:bookmarkStart w:id="19" w:name="_Toc475019995"/>
            <w:bookmarkStart w:id="20" w:name="_Toc475020126"/>
            <w:r>
              <w:rPr>
                <w:rFonts w:hint="eastAsia" w:cs="宋体"/>
                <w:color w:val="auto"/>
              </w:rPr>
              <w:t>相关方的要求</w:t>
            </w:r>
            <w:bookmarkEnd w:id="19"/>
            <w:bookmarkEnd w:id="20"/>
            <w:r>
              <w:rPr>
                <w:rFonts w:hint="eastAsia" w:cs="宋体"/>
                <w:color w:val="auto"/>
              </w:rPr>
              <w:t>：</w:t>
            </w:r>
          </w:p>
          <w:p>
            <w:pPr>
              <w:spacing w:before="156" w:beforeLines="50"/>
              <w:rPr>
                <w:rFonts w:hint="eastAsia" w:cs="宋体"/>
                <w:color w:val="auto"/>
              </w:rPr>
            </w:pPr>
            <w:bookmarkStart w:id="21" w:name="_Toc475020125"/>
            <w:bookmarkStart w:id="22" w:name="_Toc475019994"/>
            <w:r>
              <w:rPr>
                <w:rFonts w:hint="eastAsia" w:cs="宋体"/>
                <w:color w:val="auto"/>
              </w:rPr>
              <w:t>与管理体系有关的相关方</w:t>
            </w:r>
            <w:bookmarkEnd w:id="21"/>
            <w:bookmarkEnd w:id="22"/>
            <w:r>
              <w:rPr>
                <w:rFonts w:hint="eastAsia" w:cs="宋体"/>
                <w:color w:val="auto"/>
              </w:rPr>
              <w:t>；</w:t>
            </w:r>
          </w:p>
          <w:p>
            <w:pPr>
              <w:pStyle w:val="2"/>
              <w:numPr>
                <w:numId w:val="0"/>
              </w:numPr>
            </w:pPr>
            <w:r>
              <w:rPr>
                <w:rFonts w:hint="eastAsia" w:cs="宋体"/>
                <w:color w:val="auto"/>
              </w:rPr>
              <w:t>包括：包括客户、供应商、员工、审核机构及政府机关等。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80" w:lineRule="exact"/>
              <w:rPr>
                <w:rFonts w:hint="eastAsia" w:ascii="宋体" w:hAnsi="宋体"/>
                <w:b/>
                <w:color w:val="000000" w:themeColor="text1"/>
                <w:sz w:val="20"/>
                <w:szCs w:val="20"/>
              </w:rPr>
            </w:pP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before="156" w:beforeLines="50"/>
              <w:rPr>
                <w:rFonts w:hint="eastAsia" w:cs="宋体"/>
                <w:color w:val="auto"/>
              </w:rPr>
            </w:pPr>
            <w:r>
              <w:rPr>
                <w:rFonts w:hint="eastAsia" w:cs="宋体"/>
                <w:color w:val="auto"/>
              </w:rPr>
              <w:t xml:space="preserve">QEO管理方针： </w:t>
            </w:r>
          </w:p>
          <w:p>
            <w:pPr>
              <w:rPr>
                <w:rFonts w:hint="eastAsia" w:cs="宋体"/>
                <w:color w:val="auto"/>
              </w:rPr>
            </w:pPr>
            <w:r>
              <w:rPr>
                <w:rFonts w:hint="eastAsia" w:cs="宋体"/>
                <w:color w:val="auto"/>
              </w:rPr>
              <w:t>“卫生安全，质量求生存；主动服务，创新求进步；</w:t>
            </w:r>
          </w:p>
          <w:p>
            <w:pPr>
              <w:rPr>
                <w:rFonts w:hint="eastAsia" w:cs="宋体"/>
                <w:color w:val="auto"/>
              </w:rPr>
            </w:pPr>
            <w:r>
              <w:rPr>
                <w:rFonts w:hint="eastAsia" w:cs="宋体"/>
                <w:color w:val="auto"/>
              </w:rPr>
              <w:t>绿色环保，守法求持续；以人为本，健康求发展。”</w:t>
            </w:r>
          </w:p>
          <w:p>
            <w:pPr>
              <w:spacing w:before="156" w:beforeLines="50"/>
              <w:rPr>
                <w:rFonts w:hint="eastAsia" w:cs="宋体"/>
                <w:color w:val="auto"/>
              </w:rPr>
            </w:pPr>
            <w:r>
              <w:rPr>
                <w:rFonts w:hint="eastAsia" w:cs="宋体"/>
                <w:color w:val="auto"/>
              </w:rPr>
              <w:t>基本涵盖了企业诚实诚信为顾客提供服务的态度，安全意识、质量至上，保护环境的理念，不断进取，准求卓越是我公司全体员工永不停止、坚定信念、为之奋斗的目标的要求。</w:t>
            </w:r>
          </w:p>
          <w:p>
            <w:pPr>
              <w:pStyle w:val="2"/>
              <w:numPr>
                <w:numId w:val="0"/>
              </w:numPr>
            </w:pPr>
            <w:r>
              <w:rPr>
                <w:rFonts w:hint="eastAsia" w:cs="宋体"/>
                <w:color w:val="auto"/>
              </w:rPr>
              <w:t>管理方针与企业的经营宗旨相适应，通过会议传达，沟通、协调，让全体员工理解执行。并定期进行评审。</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pPr>
              <w:spacing w:before="156" w:beforeLines="50"/>
              <w:rPr>
                <w:rFonts w:hint="eastAsia" w:cs="宋体"/>
              </w:rPr>
            </w:pPr>
            <w:r>
              <w:rPr>
                <w:rFonts w:cs="宋体"/>
              </w:rPr>
              <w:t>公司</w:t>
            </w:r>
            <w:r>
              <w:rPr>
                <w:rFonts w:hint="eastAsia" w:cs="宋体"/>
              </w:rPr>
              <w:t>各部门根据本部门的活动、服务过程，分析其风险和机遇，进行风险和机遇调查并按类别对各部门上报的风险和机遇进行整理后，报体系负责人审核。</w:t>
            </w:r>
          </w:p>
          <w:p>
            <w:pPr>
              <w:spacing w:before="156" w:beforeLines="50"/>
              <w:rPr>
                <w:rFonts w:hint="eastAsia"/>
                <w:color w:val="auto"/>
              </w:rPr>
            </w:pPr>
            <w:r>
              <w:rPr>
                <w:rFonts w:hint="eastAsia" w:cs="宋体"/>
              </w:rPr>
              <w:t>对主要风险和机遇，公司采用目标、指标、管理方案或相应程序文件进行措施予以控制，策划的应对措</w:t>
            </w:r>
            <w:r>
              <w:rPr>
                <w:rFonts w:hint="eastAsia" w:cs="宋体"/>
                <w:color w:val="auto"/>
              </w:rPr>
              <w:t>施应与风险和机遇对服务符合性及管理体系绩效的潜在影响相适应，并在管理体系各个过程中整合并实施这些措施，公司结合内外部审核、检查及管理评审等方式，定期这些措施的有效性进行评价。</w:t>
            </w:r>
          </w:p>
          <w:p>
            <w:pPr>
              <w:pStyle w:val="2"/>
              <w:numPr>
                <w:numId w:val="0"/>
              </w:numPr>
              <w:ind w:leftChars="0"/>
            </w:pPr>
            <w:r>
              <w:rPr>
                <w:rFonts w:hint="eastAsia"/>
                <w:color w:val="auto"/>
              </w:rPr>
              <w:t>提供</w:t>
            </w:r>
            <w:r>
              <w:rPr>
                <w:rFonts w:hint="eastAsia" w:cs="宋体"/>
                <w:bCs w:val="0"/>
                <w:color w:val="auto"/>
                <w:spacing w:val="0"/>
              </w:rPr>
              <w:t>《</w:t>
            </w:r>
            <w:r>
              <w:rPr>
                <w:rFonts w:hint="eastAsia" w:cs="宋体"/>
                <w:color w:val="auto"/>
              </w:rPr>
              <w:t>内外部因素的确认及风险分析及应对措施</w:t>
            </w:r>
            <w:r>
              <w:rPr>
                <w:rFonts w:hint="eastAsia" w:cs="宋体"/>
                <w:bCs w:val="0"/>
                <w:color w:val="auto"/>
                <w:spacing w:val="0"/>
              </w:rPr>
              <w:t>》，分析</w:t>
            </w:r>
            <w:r>
              <w:rPr>
                <w:rFonts w:cs="宋体"/>
                <w:bCs w:val="0"/>
                <w:color w:val="auto"/>
                <w:spacing w:val="0"/>
              </w:rPr>
              <w:t>12</w:t>
            </w:r>
            <w:r>
              <w:rPr>
                <w:rFonts w:hint="eastAsia" w:cs="宋体"/>
                <w:bCs w:val="0"/>
                <w:color w:val="auto"/>
                <w:spacing w:val="0"/>
              </w:rPr>
              <w:t>项，</w:t>
            </w:r>
            <w:r>
              <w:rPr>
                <w:rFonts w:cs="宋体"/>
                <w:bCs w:val="0"/>
                <w:color w:val="auto"/>
                <w:spacing w:val="0"/>
              </w:rPr>
              <w:t>6</w:t>
            </w:r>
            <w:r>
              <w:rPr>
                <w:rFonts w:hint="eastAsia" w:cs="宋体"/>
                <w:bCs w:val="0"/>
                <w:color w:val="auto"/>
                <w:spacing w:val="0"/>
              </w:rPr>
              <w:t>项外部环境因素，6项内部环境因素。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Theme="minorEastAsia" w:hAnsiTheme="minorEastAsia" w:eastAsiaTheme="minorEastAsia" w:cstheme="minorEastAsia"/>
                <w:b w:val="0"/>
                <w:bCs/>
                <w:color w:val="auto"/>
                <w:sz w:val="21"/>
                <w:szCs w:val="21"/>
                <w:lang w:val="en-US" w:eastAsia="zh-CN"/>
              </w:rPr>
              <w:t>目标客户分析---/采购订单-采购-验收-入库-货架摆放---销售----顾客满意度调查</w:t>
            </w:r>
          </w:p>
          <w:p>
            <w:pPr>
              <w:tabs>
                <w:tab w:val="left" w:pos="540"/>
              </w:tabs>
              <w:spacing w:line="300" w:lineRule="exact"/>
              <w:ind w:left="201" w:hanging="201" w:hangingChars="100"/>
              <w:rPr>
                <w:rFonts w:hint="eastAsia" w:asciiTheme="minorEastAsia" w:hAnsiTheme="minorEastAsia" w:eastAsiaTheme="minorEastAsia" w:cstheme="minorEastAsia"/>
                <w:b w:val="0"/>
                <w:bCs/>
                <w:color w:val="auto"/>
                <w:sz w:val="21"/>
                <w:szCs w:val="21"/>
                <w:lang w:val="en-US"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Theme="minorEastAsia" w:hAnsiTheme="minorEastAsia" w:eastAsiaTheme="minorEastAsia" w:cstheme="minorEastAsia"/>
                <w:b w:val="0"/>
                <w:bCs/>
                <w:color w:val="auto"/>
                <w:sz w:val="21"/>
                <w:szCs w:val="21"/>
                <w:lang w:val="en-US" w:eastAsia="zh-CN"/>
              </w:rPr>
              <w:t>销售服务过程</w:t>
            </w:r>
          </w:p>
          <w:p>
            <w:pPr>
              <w:snapToGrid w:val="0"/>
              <w:spacing w:line="360" w:lineRule="exact"/>
              <w:ind w:firstLine="420" w:firstLineChars="200"/>
              <w:jc w:val="left"/>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预包装食品销售服务过程的风险：1、保质期过期、食品变质；2、农药残留；3、致病性微生物.；4</w:t>
            </w:r>
            <w:r>
              <w:rPr>
                <w:rFonts w:hint="eastAsia" w:asciiTheme="minorEastAsia" w:hAnsiTheme="minorEastAsia" w:eastAsiaTheme="minorEastAsia" w:cstheme="minorEastAsia"/>
                <w:b w:val="0"/>
                <w:bCs/>
                <w:color w:val="000000"/>
                <w:kern w:val="0"/>
                <w:sz w:val="21"/>
                <w:szCs w:val="21"/>
              </w:rPr>
              <w:t>超出经营范围</w:t>
            </w:r>
            <w:r>
              <w:rPr>
                <w:rFonts w:hint="eastAsia" w:asciiTheme="minorEastAsia" w:hAnsiTheme="minorEastAsia" w:eastAsiaTheme="minorEastAsia" w:cstheme="minorEastAsia"/>
                <w:b w:val="0"/>
                <w:bCs/>
                <w:color w:val="000000"/>
                <w:kern w:val="0"/>
                <w:sz w:val="21"/>
                <w:szCs w:val="21"/>
                <w:lang w:val="en-US" w:eastAsia="zh-CN"/>
              </w:rPr>
              <w:t>.</w:t>
            </w:r>
          </w:p>
          <w:p>
            <w:pPr>
              <w:snapToGrid w:val="0"/>
              <w:spacing w:line="360" w:lineRule="exact"/>
              <w:ind w:firstLine="420" w:firstLineChars="200"/>
              <w:jc w:val="left"/>
              <w:rPr>
                <w:rFonts w:hint="eastAsia"/>
                <w:lang w:eastAsia="zh-CN"/>
              </w:rPr>
            </w:pPr>
            <w:r>
              <w:rPr>
                <w:rFonts w:hint="eastAsia" w:asciiTheme="minorEastAsia" w:hAnsiTheme="minorEastAsia" w:eastAsiaTheme="minorEastAsia" w:cstheme="minorEastAsia"/>
                <w:b w:val="0"/>
                <w:bCs/>
                <w:color w:val="auto"/>
                <w:sz w:val="21"/>
                <w:szCs w:val="21"/>
                <w:lang w:val="en-US" w:eastAsia="zh-CN"/>
              </w:rPr>
              <w:t>控制措施：1、严格按照食品保质期制定标签；2、清洗干净；3、清晰干净；4、</w:t>
            </w:r>
            <w:r>
              <w:rPr>
                <w:rFonts w:hint="eastAsia" w:asciiTheme="minorEastAsia" w:hAnsiTheme="minorEastAsia" w:eastAsiaTheme="minorEastAsia" w:cstheme="minorEastAsia"/>
                <w:b w:val="0"/>
                <w:bCs/>
                <w:color w:val="000000"/>
                <w:kern w:val="0"/>
                <w:sz w:val="21"/>
                <w:szCs w:val="21"/>
              </w:rPr>
              <w:t>按照申请许可的项目从事销售活动</w:t>
            </w:r>
            <w:r>
              <w:rPr>
                <w:rFonts w:hint="eastAsia" w:asciiTheme="minorEastAsia" w:hAnsiTheme="minorEastAsia" w:eastAsiaTheme="minorEastAsia" w:cstheme="minorEastAsia"/>
                <w:b w:val="0"/>
                <w:bCs/>
                <w:color w:val="000000"/>
                <w:kern w:val="0"/>
                <w:sz w:val="21"/>
                <w:szCs w:val="21"/>
                <w:lang w:eastAsia="zh-CN"/>
              </w:rPr>
              <w:t>。</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Theme="minorEastAsia" w:hAnsiTheme="minorEastAsia" w:eastAsiaTheme="minorEastAsia" w:cstheme="minorEastAsia"/>
                <w:b w:val="0"/>
                <w:bCs/>
                <w:color w:val="auto"/>
                <w:sz w:val="21"/>
                <w:szCs w:val="21"/>
                <w:lang w:val="en-US" w:eastAsia="zh-CN"/>
              </w:rPr>
              <w:t>销售服务过程</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Q8.3</w:t>
            </w:r>
            <w:r>
              <w:rPr>
                <w:rFonts w:hint="eastAsia" w:ascii="宋体" w:hAnsi="宋体"/>
                <w:b/>
                <w:color w:val="000000" w:themeColor="text1"/>
                <w:sz w:val="20"/>
                <w:szCs w:val="20"/>
              </w:rPr>
              <w:t xml:space="preserve">    ，不适用理由：</w:t>
            </w:r>
            <w:r>
              <w:rPr>
                <w:rFonts w:hint="eastAsia" w:hAnsi="宋体"/>
                <w:color w:val="auto"/>
                <w:u w:val="single"/>
              </w:rPr>
              <w:t>根据公司产品特点，公司预包装食品销售过程不涉及设计开发，故删除8.3条款，不影响体系运行的实施。</w:t>
            </w:r>
            <w:r>
              <w:rPr>
                <w:rFonts w:hint="eastAsia" w:ascii="宋体" w:hAnsi="宋体"/>
                <w:b/>
                <w:color w:val="000000" w:themeColor="text1"/>
                <w:sz w:val="20"/>
                <w:szCs w:val="2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napToGrid w:val="0"/>
              <w:spacing w:line="360" w:lineRule="exact"/>
              <w:jc w:val="left"/>
              <w:rPr>
                <w:b/>
                <w:color w:val="000000" w:themeColor="text1"/>
                <w:sz w:val="20"/>
                <w:szCs w:val="20"/>
              </w:rPr>
            </w:pPr>
            <w:r>
              <w:rPr>
                <w:rFonts w:hint="eastAsia" w:ascii="宋体" w:hAnsi="宋体" w:eastAsia="宋体" w:cs="宋体"/>
                <w:color w:val="auto"/>
                <w:sz w:val="21"/>
                <w:szCs w:val="21"/>
              </w:rPr>
              <w:t>提供《重要环境因素清单》包括：</w:t>
            </w:r>
            <w:r>
              <w:rPr>
                <w:rFonts w:hint="eastAsia" w:asciiTheme="minorEastAsia" w:hAnsiTheme="minorEastAsia" w:eastAsiaTheme="minorEastAsia" w:cstheme="minorEastAsia"/>
                <w:b w:val="0"/>
                <w:bCs/>
                <w:color w:val="auto"/>
                <w:sz w:val="21"/>
                <w:szCs w:val="21"/>
                <w:lang w:val="en-US" w:eastAsia="zh-CN"/>
              </w:rPr>
              <w:t>重要环境因素：火灾后发生的环境影响、过期食品或包装物产生的固废；控制措施：及时回收或处理。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before="156" w:beforeLines="50"/>
            </w:pPr>
            <w:r>
              <w:rPr>
                <w:rFonts w:hint="eastAsia" w:ascii="宋体" w:hAnsi="宋体" w:eastAsia="宋体" w:cs="宋体"/>
                <w:color w:val="auto"/>
                <w:sz w:val="21"/>
                <w:szCs w:val="21"/>
              </w:rPr>
              <w:t>提供《危险源识别与评价表》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 可 接 受 风 险 清 单》包括：分别是：潜在火灾、触电、食物中毒、新冠疫情、意外伤害。</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做好防火措施及应急准备；做好交通安全规范开车等。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color w:val="auto"/>
              </w:rPr>
              <w:t>通过刊物、网站</w:t>
            </w:r>
            <w:r>
              <w:rPr>
                <w:rFonts w:hint="eastAsia" w:cs="宋体"/>
                <w:color w:val="auto"/>
                <w:lang w:eastAsia="zh-CN"/>
              </w:rPr>
              <w:t>、会议等方式</w:t>
            </w:r>
          </w:p>
          <w:p>
            <w:pPr>
              <w:pStyle w:val="13"/>
              <w:numPr>
                <w:ilvl w:val="0"/>
                <w:numId w:val="4"/>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rPr>
                <w:rFonts w:ascii="宋体" w:hAnsi="宋体"/>
                <w:b/>
                <w:color w:val="000000" w:themeColor="text1"/>
                <w:sz w:val="20"/>
                <w:szCs w:val="20"/>
              </w:rPr>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管理人员经培训上岗，销售人员需经培训并对其能力进行考核确认后上岗，目前人员配备基本满足要求。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销售信息登记电脑、仓库或货架、</w:t>
            </w:r>
            <w:r>
              <w:rPr>
                <w:rFonts w:hint="eastAsia"/>
                <w:color w:val="auto"/>
              </w:rPr>
              <w:t>货架26组, 收银机1台,监控设备1套,冷藏柜1台、</w:t>
            </w:r>
            <w:r>
              <w:rPr>
                <w:rFonts w:hint="eastAsia" w:asciiTheme="minorEastAsia" w:hAnsiTheme="minorEastAsia" w:eastAsiaTheme="minorEastAsia" w:cstheme="minorEastAsia"/>
                <w:b w:val="0"/>
                <w:bCs/>
                <w:color w:val="auto"/>
                <w:sz w:val="21"/>
                <w:szCs w:val="21"/>
                <w:lang w:val="en-US" w:eastAsia="zh-CN"/>
              </w:rPr>
              <w:t>小推车、收款设备、监视设备</w:t>
            </w:r>
            <w:r>
              <w:rPr>
                <w:rFonts w:hint="eastAsia"/>
                <w:color w:val="auto"/>
              </w:rPr>
              <w:t>、</w:t>
            </w:r>
            <w:r>
              <w:rPr>
                <w:color w:val="auto"/>
              </w:rPr>
              <w:t>打印机</w:t>
            </w:r>
            <w:r>
              <w:rPr>
                <w:rFonts w:hint="eastAsia"/>
                <w:color w:val="auto"/>
              </w:rPr>
              <w:t>、复印机、办公桌椅等</w:t>
            </w:r>
            <w:r>
              <w:rPr>
                <w:rFonts w:hint="eastAsia" w:asciiTheme="minorEastAsia" w:hAnsiTheme="minorEastAsia" w:eastAsiaTheme="minorEastAsia" w:cstheme="minorEastAsia"/>
                <w:b w:val="0"/>
                <w:bCs/>
                <w:color w:val="auto"/>
                <w:sz w:val="21"/>
                <w:szCs w:val="21"/>
                <w:lang w:val="en-US" w:eastAsia="zh-CN"/>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库房通风干燥并满足消防安全的要求；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监视和测量资源</w:t>
            </w:r>
          </w:p>
          <w:p>
            <w:pPr>
              <w:pStyle w:val="2"/>
              <w:rPr>
                <w:rFonts w:hint="eastAsia" w:eastAsia="宋体"/>
                <w:lang w:eastAsia="zh-CN"/>
              </w:rPr>
            </w:pPr>
            <w:r>
              <w:rPr>
                <w:rFonts w:hint="eastAsia"/>
                <w:lang w:eastAsia="zh-CN"/>
              </w:rPr>
              <w:t>摄像头等</w:t>
            </w:r>
            <w:r>
              <w:rPr>
                <w:rFonts w:hint="eastAsia" w:asciiTheme="minorEastAsia" w:hAnsiTheme="minorEastAsia" w:eastAsiaTheme="minorEastAsia" w:cstheme="minorEastAsia"/>
                <w:b w:val="0"/>
                <w:bCs/>
                <w:color w:val="auto"/>
                <w:sz w:val="21"/>
                <w:szCs w:val="21"/>
                <w:lang w:val="en-US" w:eastAsia="zh-CN"/>
              </w:rPr>
              <w:t>监视设备，销售人员考核。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rPr>
                <w:rFonts w:ascii="宋体" w:hAnsi="宋体"/>
                <w:b/>
                <w:color w:val="000000" w:themeColor="text1"/>
                <w:sz w:val="20"/>
                <w:szCs w:val="20"/>
              </w:rPr>
            </w:pPr>
            <w:r>
              <w:rPr>
                <w:rFonts w:hint="eastAsia"/>
              </w:rPr>
              <w:t>公司确定运行过程所需的知识，内部来源包括公司运作准则（管理制度、工作记录等）等。外部来源包括外来资料如认证标准、法律法规、市场信息等。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r>
              <w:rPr>
                <w:rFonts w:hint="eastAsia"/>
              </w:rPr>
              <w:t>配备有灭火器等环保设施。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rPr>
              <w:t>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bCs/>
              </w:rPr>
              <w:t>1. 针对方针的管理职责评审</w:t>
            </w: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销售部负责产品和服务要求确定的工作，根据与顾客要求，利用宣传页、分区分类放置、产品标识、导购介绍等来满足顾客的要求。</w:t>
            </w:r>
          </w:p>
          <w:p>
            <w:pPr>
              <w:spacing w:line="360" w:lineRule="auto"/>
              <w:rPr>
                <w:rFonts w:hint="eastAsia" w:asciiTheme="minorEastAsia" w:hAnsiTheme="minorEastAsia" w:eastAsiaTheme="minorEastAsia" w:cstheme="minorEastAsia"/>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lang w:val="en-US" w:eastAsia="zh-CN"/>
              </w:rPr>
              <w:t>销售服务流程：目标客户分析---/采购订单-采购-验收-入库-货架摆放---销售----顾客满意度调查</w:t>
            </w:r>
          </w:p>
          <w:p>
            <w:pPr>
              <w:pStyle w:val="3"/>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销售服务过程：进行了特殊过程确认，另有销售绩效考核。</w:t>
            </w:r>
          </w:p>
          <w:p>
            <w:pPr>
              <w:snapToGrid w:val="0"/>
              <w:spacing w:line="360" w:lineRule="exact"/>
              <w:jc w:val="left"/>
              <w:rPr>
                <w:rFonts w:hint="eastAsia" w:asciiTheme="minorEastAsia" w:hAnsiTheme="minorEastAsia" w:eastAsiaTheme="minorEastAsia" w:cstheme="minorEastAsia"/>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w:t>
            </w:r>
            <w:r>
              <w:rPr>
                <w:rFonts w:hint="eastAsia" w:asciiTheme="minorEastAsia" w:hAnsiTheme="minorEastAsia" w:eastAsiaTheme="minorEastAsia" w:cstheme="minorEastAsia"/>
                <w:b w:val="0"/>
                <w:bCs/>
                <w:color w:val="auto"/>
                <w:sz w:val="21"/>
                <w:szCs w:val="21"/>
                <w:lang w:val="en-US" w:eastAsia="zh-CN"/>
              </w:rPr>
              <w:t>预包装食品销售服务过程的风险：1、保质期过期、食品变质；2、农药残留；3、致病性微生物.；4</w:t>
            </w:r>
            <w:r>
              <w:rPr>
                <w:rFonts w:hint="eastAsia" w:asciiTheme="minorEastAsia" w:hAnsiTheme="minorEastAsia" w:eastAsiaTheme="minorEastAsia" w:cstheme="minorEastAsia"/>
                <w:b w:val="0"/>
                <w:bCs/>
                <w:color w:val="000000"/>
                <w:kern w:val="0"/>
                <w:sz w:val="21"/>
                <w:szCs w:val="21"/>
              </w:rPr>
              <w:t>超出经营范围</w:t>
            </w:r>
            <w:r>
              <w:rPr>
                <w:rFonts w:hint="eastAsia" w:asciiTheme="minorEastAsia" w:hAnsiTheme="minorEastAsia" w:eastAsiaTheme="minorEastAsia" w:cstheme="minorEastAsia"/>
                <w:b w:val="0"/>
                <w:bCs/>
                <w:color w:val="000000"/>
                <w:kern w:val="0"/>
                <w:sz w:val="21"/>
                <w:szCs w:val="21"/>
                <w:lang w:val="en-US" w:eastAsia="zh-CN"/>
              </w:rPr>
              <w:t>.</w:t>
            </w:r>
          </w:p>
          <w:p>
            <w:pPr>
              <w:snapToGrid w:val="0"/>
              <w:spacing w:line="360" w:lineRule="exact"/>
              <w:jc w:val="left"/>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控制措施：1、严格按照食品保质期制定标签；2、清洗干净；3、清晰干净；4、</w:t>
            </w:r>
            <w:r>
              <w:rPr>
                <w:rFonts w:hint="eastAsia" w:asciiTheme="minorEastAsia" w:hAnsiTheme="minorEastAsia" w:eastAsiaTheme="minorEastAsia" w:cstheme="minorEastAsia"/>
                <w:b w:val="0"/>
                <w:bCs/>
                <w:color w:val="000000"/>
                <w:kern w:val="0"/>
                <w:sz w:val="21"/>
                <w:szCs w:val="21"/>
              </w:rPr>
              <w:t>按照申请许可的项目从事销售活动</w:t>
            </w:r>
            <w:r>
              <w:rPr>
                <w:rFonts w:hint="eastAsia" w:asciiTheme="minorEastAsia" w:hAnsiTheme="minorEastAsia" w:eastAsiaTheme="minorEastAsia" w:cstheme="minorEastAsia"/>
                <w:b w:val="0"/>
                <w:bCs/>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b/>
                <w:color w:val="000000" w:themeColor="text1"/>
                <w:sz w:val="20"/>
                <w:szCs w:val="20"/>
              </w:rPr>
            </w:pPr>
            <w:r>
              <w:rPr>
                <w:rFonts w:hint="eastAsia"/>
                <w:bCs/>
                <w:szCs w:val="21"/>
              </w:rPr>
              <w:t>按照顾客和合同要求进行服务，能够稳定的向顾客提供合格的销售产品及服务。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 xml:space="preserve"> 有检验报告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b/>
                <w:color w:val="000000" w:themeColor="text1"/>
                <w:sz w:val="20"/>
                <w:szCs w:val="20"/>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Theme="minorEastAsia" w:hAnsiTheme="minorEastAsia" w:eastAsiaTheme="minorEastAsia" w:cstheme="minorEastAsia"/>
                <w:b w:val="0"/>
                <w:bCs/>
                <w:color w:val="auto"/>
                <w:sz w:val="21"/>
                <w:szCs w:val="21"/>
                <w:lang w:val="en-US" w:eastAsia="zh-CN"/>
              </w:rPr>
              <w:t>重要环境因素：火灾后发生的环境影响、过期食品或包装物产生的固废；控制措施：及时回收或处理。</w:t>
            </w:r>
            <w:r>
              <w:rPr>
                <w:rFonts w:hint="eastAsia"/>
                <w:bCs/>
                <w:szCs w:val="21"/>
              </w:rPr>
              <w:t>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bCs/>
                <w:szCs w:val="21"/>
                <w:lang w:eastAsia="zh-CN"/>
              </w:rPr>
              <w:t>：</w:t>
            </w:r>
            <w:bookmarkStart w:id="24" w:name="_GoBack"/>
            <w:bookmarkEnd w:id="24"/>
            <w:r>
              <w:rPr>
                <w:rFonts w:hint="eastAsia" w:ascii="宋体" w:hAnsi="宋体" w:eastAsia="宋体" w:cs="宋体"/>
                <w:color w:val="auto"/>
                <w:sz w:val="21"/>
                <w:szCs w:val="21"/>
              </w:rPr>
              <w:t>潜在火灾、触电、食物中毒、新冠疫情、意外伤害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pacing w:val="-4"/>
                <w:sz w:val="20"/>
                <w:szCs w:val="20"/>
              </w:rPr>
            </w:pPr>
            <w:r>
              <w:rPr>
                <w:rFonts w:hint="eastAsia"/>
                <w:b/>
                <w:color w:val="000000" w:themeColor="text1"/>
                <w:sz w:val="20"/>
                <w:szCs w:val="20"/>
              </w:rPr>
              <w:t xml:space="preserve">9. 应急准备与相应活动的演练及对预案可行性的评价(当有规定时) </w:t>
            </w:r>
          </w:p>
          <w:p>
            <w:pPr>
              <w:spacing w:before="156" w:beforeLines="5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对</w:t>
            </w:r>
            <w:r>
              <w:rPr>
                <w:rFonts w:hint="eastAsia" w:ascii="宋体" w:hAnsi="宋体" w:eastAsia="宋体" w:cs="宋体"/>
                <w:color w:val="auto"/>
                <w:sz w:val="21"/>
                <w:szCs w:val="21"/>
              </w:rPr>
              <w:t>潜在火灾、触电、食物中毒、新冠疫情、意外伤害</w:t>
            </w:r>
            <w:r>
              <w:rPr>
                <w:rFonts w:hint="eastAsia" w:ascii="宋体" w:hAnsi="宋体" w:eastAsia="宋体" w:cs="宋体"/>
                <w:color w:val="auto"/>
                <w:sz w:val="21"/>
                <w:szCs w:val="21"/>
                <w:lang w:eastAsia="zh-CN"/>
              </w:rPr>
              <w:t>制定了预案，</w:t>
            </w:r>
            <w:r>
              <w:rPr>
                <w:rFonts w:hint="eastAsia" w:asciiTheme="minorEastAsia" w:hAnsiTheme="minorEastAsia" w:eastAsiaTheme="minorEastAsia" w:cstheme="minorEastAsia"/>
                <w:b w:val="0"/>
                <w:bCs/>
                <w:color w:val="auto"/>
                <w:sz w:val="21"/>
                <w:szCs w:val="21"/>
                <w:lang w:val="en-US" w:eastAsia="zh-CN"/>
              </w:rPr>
              <w:t>做好防火措施及应急准备，</w:t>
            </w:r>
            <w:r>
              <w:rPr>
                <w:rFonts w:hint="eastAsia"/>
                <w:bCs/>
                <w:szCs w:val="21"/>
              </w:rPr>
              <w:t>对火灾等制定了应急预案，并按要求进行了演练和评审，对演练效果进行了评价</w:t>
            </w:r>
            <w:r>
              <w:rPr>
                <w:rFonts w:hint="eastAsia"/>
                <w:bCs/>
                <w:szCs w:val="21"/>
                <w:lang w:eastAsia="zh-CN"/>
              </w:rPr>
              <w:t>，</w:t>
            </w:r>
            <w:r>
              <w:rPr>
                <w:rFonts w:hint="eastAsia" w:asciiTheme="minorEastAsia" w:hAnsiTheme="minorEastAsia" w:eastAsiaTheme="minorEastAsia" w:cstheme="minorEastAsia"/>
                <w:b w:val="0"/>
                <w:bCs/>
                <w:color w:val="auto"/>
                <w:sz w:val="21"/>
                <w:szCs w:val="21"/>
                <w:lang w:val="en-US" w:eastAsia="zh-CN"/>
              </w:rPr>
              <w:t>做好交通安全规范开车等。</w:t>
            </w:r>
            <w:r>
              <w:rPr>
                <w:rFonts w:hint="eastAsia"/>
                <w:bCs/>
                <w:szCs w:val="21"/>
              </w:rPr>
              <w:t>目前公司不可接受风险对公司及周边环境影响不大，可得到有效控制。对相关方进行了必要告知。</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color w:val="000000" w:themeColor="text1"/>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eastAsia="zh-CN"/>
              </w:rPr>
            </w:pPr>
            <w:r>
              <w:rPr>
                <w:rFonts w:hint="eastAsia"/>
                <w:b/>
                <w:color w:val="000000" w:themeColor="text1"/>
                <w:sz w:val="20"/>
                <w:szCs w:val="20"/>
                <w:lang w:eastAsia="zh-CN"/>
              </w:rPr>
              <w:t>有，满足。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spacing w:line="240" w:lineRule="exact"/>
              <w:ind w:firstLine="420" w:firstLineChars="200"/>
              <w:rPr>
                <w:b/>
                <w:color w:val="000000" w:themeColor="text1"/>
                <w:sz w:val="28"/>
                <w:szCs w:val="28"/>
              </w:rPr>
            </w:pPr>
            <w:r>
              <w:rPr>
                <w:rFonts w:hint="eastAsia"/>
              </w:rPr>
              <w:t>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rFonts w:hint="eastAsia" w:eastAsia="宋体"/>
                <w:b/>
                <w:color w:val="000000" w:themeColor="text1"/>
                <w:spacing w:val="-10"/>
                <w:sz w:val="22"/>
                <w:szCs w:val="22"/>
                <w:lang w:eastAsia="zh-CN"/>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u w:val="single"/>
          <w:lang w:eastAsia="zh-CN"/>
        </w:rPr>
        <w:t>受疫情影响，本次为远程审核，预留现场审核日期及安排待定。</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default"/>
          <w:b/>
          <w:color w:val="000000" w:themeColor="text1"/>
          <w:sz w:val="26"/>
          <w:szCs w:val="26"/>
          <w:lang w:val="en-US"/>
        </w:rPr>
      </w:pPr>
      <w:r>
        <w:rPr>
          <w:rFonts w:hint="eastAsia"/>
          <w:b/>
          <w:color w:val="000000" w:themeColor="text1"/>
          <w:sz w:val="26"/>
          <w:szCs w:val="26"/>
        </w:rPr>
        <w:t>审核组组员（签名）：</w:t>
      </w:r>
      <w:r>
        <w:rPr>
          <w:rFonts w:ascii="宋体" w:hAnsi="宋体"/>
          <w:kern w:val="2"/>
          <w:sz w:val="24"/>
          <w:lang w:val="en-US" w:eastAsia="zh-CN" w:bidi="ar-SA"/>
        </w:rPr>
        <w:drawing>
          <wp:inline distT="0" distB="0" distL="114300" distR="114300">
            <wp:extent cx="472440" cy="333375"/>
            <wp:effectExtent l="0" t="0" r="3810" b="9525"/>
            <wp:docPr id="4" name="图片 2"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203bf272f255b2858840d3e70f53374"/>
                    <pic:cNvPicPr>
                      <a:picLocks noChangeAspect="1"/>
                    </pic:cNvPicPr>
                  </pic:nvPicPr>
                  <pic:blipFill>
                    <a:blip r:embed="rId7"/>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rPr>
          <w:rFonts w:hint="eastAsia" w:ascii="宋体" w:hAnsi="宋体"/>
          <w:szCs w:val="21"/>
        </w:rPr>
        <w:drawing>
          <wp:inline distT="0" distB="0" distL="114300" distR="114300">
            <wp:extent cx="479425" cy="339090"/>
            <wp:effectExtent l="0" t="0" r="15875" b="3810"/>
            <wp:docPr id="5" name="图片 3" descr="ae27f13d4c00e77522a97fbea83b3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ae27f13d4c00e77522a97fbea83b3a3"/>
                    <pic:cNvPicPr>
                      <a:picLocks noChangeAspect="1"/>
                    </pic:cNvPicPr>
                  </pic:nvPicPr>
                  <pic:blipFill>
                    <a:blip r:embed="rId8"/>
                    <a:stretch>
                      <a:fillRect/>
                    </a:stretch>
                  </pic:blipFill>
                  <pic:spPr>
                    <a:xfrm>
                      <a:off x="0" y="0"/>
                      <a:ext cx="479425" cy="33909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sym w:font="Wingdings 2" w:char="0052"/>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0</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w:t>
      </w:r>
      <w:r>
        <w:rPr>
          <w:rFonts w:hint="eastAsia"/>
          <w:b/>
          <w:color w:val="000000" w:themeColor="text1"/>
          <w:szCs w:val="21"/>
          <w:lang w:val="en-US" w:eastAsia="zh-CN"/>
        </w:rPr>
        <w:t>0</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color w:val="000000" w:themeColor="text1"/>
          <w:szCs w:val="21"/>
        </w:rPr>
        <w:t xml:space="preserve">组长签字:   </w:t>
      </w:r>
      <w:r>
        <w:drawing>
          <wp:inline distT="0" distB="0" distL="114300" distR="114300">
            <wp:extent cx="626745" cy="274320"/>
            <wp:effectExtent l="0" t="0" r="1905" b="1143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2020年8月23日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3"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3"/>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930BE0"/>
    <w:multiLevelType w:val="singleLevel"/>
    <w:tmpl w:val="FD930BE0"/>
    <w:lvl w:ilvl="0" w:tentative="0">
      <w:start w:val="5"/>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4BB738"/>
    <w:multiLevelType w:val="singleLevel"/>
    <w:tmpl w:val="4A4BB738"/>
    <w:lvl w:ilvl="0" w:tentative="0">
      <w:start w:val="3"/>
      <w:numFmt w:val="decimal"/>
      <w:lvlText w:val="%1."/>
      <w:lvlJc w:val="left"/>
      <w:pPr>
        <w:tabs>
          <w:tab w:val="left" w:pos="312"/>
        </w:tabs>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5">
    <w:nsid w:val="72527EA0"/>
    <w:multiLevelType w:val="singleLevel"/>
    <w:tmpl w:val="72527EA0"/>
    <w:lvl w:ilvl="0" w:tentative="0">
      <w:start w:val="2"/>
      <w:numFmt w:val="decimal"/>
      <w:suff w:val="nothing"/>
      <w:lvlText w:val="%1、"/>
      <w:lvlJc w:val="left"/>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A2637C"/>
    <w:rsid w:val="01C026E1"/>
    <w:rsid w:val="02381261"/>
    <w:rsid w:val="02A255C9"/>
    <w:rsid w:val="03085336"/>
    <w:rsid w:val="066506AA"/>
    <w:rsid w:val="06A27B95"/>
    <w:rsid w:val="097F71AD"/>
    <w:rsid w:val="0AC374DB"/>
    <w:rsid w:val="0F8A6879"/>
    <w:rsid w:val="0FF60347"/>
    <w:rsid w:val="144A3594"/>
    <w:rsid w:val="17700A97"/>
    <w:rsid w:val="19536424"/>
    <w:rsid w:val="1BF4030F"/>
    <w:rsid w:val="1CF074AC"/>
    <w:rsid w:val="207E4BCC"/>
    <w:rsid w:val="214243EE"/>
    <w:rsid w:val="2170505A"/>
    <w:rsid w:val="25222788"/>
    <w:rsid w:val="27D16DF4"/>
    <w:rsid w:val="27EE21FA"/>
    <w:rsid w:val="29C8185B"/>
    <w:rsid w:val="2A360556"/>
    <w:rsid w:val="2AE073AD"/>
    <w:rsid w:val="2D905CA6"/>
    <w:rsid w:val="2ED82291"/>
    <w:rsid w:val="2F085116"/>
    <w:rsid w:val="325F098D"/>
    <w:rsid w:val="32FB3882"/>
    <w:rsid w:val="33731856"/>
    <w:rsid w:val="34A777DE"/>
    <w:rsid w:val="35561C2F"/>
    <w:rsid w:val="3B381CDA"/>
    <w:rsid w:val="402D330C"/>
    <w:rsid w:val="403F17A1"/>
    <w:rsid w:val="41882B32"/>
    <w:rsid w:val="424E065B"/>
    <w:rsid w:val="43BE4EF5"/>
    <w:rsid w:val="453D6BF6"/>
    <w:rsid w:val="45957096"/>
    <w:rsid w:val="47C6453B"/>
    <w:rsid w:val="4B33236D"/>
    <w:rsid w:val="4C1F5C00"/>
    <w:rsid w:val="4EDF591E"/>
    <w:rsid w:val="4EFF5372"/>
    <w:rsid w:val="50BD5D2D"/>
    <w:rsid w:val="5151162C"/>
    <w:rsid w:val="51CD5699"/>
    <w:rsid w:val="542B4F78"/>
    <w:rsid w:val="5A5502D1"/>
    <w:rsid w:val="5A7B4147"/>
    <w:rsid w:val="5D2D4998"/>
    <w:rsid w:val="624225E8"/>
    <w:rsid w:val="645835B3"/>
    <w:rsid w:val="64D20E82"/>
    <w:rsid w:val="679F33B3"/>
    <w:rsid w:val="68F01B84"/>
    <w:rsid w:val="734E2A7A"/>
    <w:rsid w:val="73A75B38"/>
    <w:rsid w:val="748227DA"/>
    <w:rsid w:val="77110AB0"/>
    <w:rsid w:val="7759389B"/>
    <w:rsid w:val="776D326F"/>
    <w:rsid w:val="7A683723"/>
    <w:rsid w:val="7A852B78"/>
    <w:rsid w:val="7FAE7A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uiPriority w:val="99"/>
    <w:rPr>
      <w:rFonts w:ascii="Times New Roman" w:hAnsi="Times New Roman" w:eastAsia="宋体" w:cs="Times New Roman"/>
      <w:sz w:val="18"/>
      <w:szCs w:val="18"/>
    </w:rPr>
  </w:style>
  <w:style w:type="character" w:customStyle="1" w:styleId="15">
    <w:name w:val="页脚 Char"/>
    <w:basedOn w:val="11"/>
    <w:link w:val="6"/>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Joyce</cp:lastModifiedBy>
  <cp:lastPrinted>2019-05-13T03:19:00Z</cp:lastPrinted>
  <dcterms:modified xsi:type="dcterms:W3CDTF">2020-08-24T01:51:27Z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