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重庆市圆丰除尘技术有限责任公司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u w:val="single"/>
          <w:lang w:eastAsia="zh-CN"/>
        </w:rPr>
        <w:t>监督</w:t>
      </w:r>
      <w:r>
        <w:rPr>
          <w:rFonts w:hint="eastAsia"/>
          <w:b/>
          <w:sz w:val="21"/>
          <w:szCs w:val="21"/>
          <w:u w:val="single"/>
          <w:lang w:val="en-US" w:eastAsia="zh-CN"/>
        </w:rPr>
        <w:t>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重庆市圆丰除尘技术有限责任公司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重庆市九龙坡区渝州路4号一城精英国际1幢19-19</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重庆市九龙坡区渝州路4号一城精英国际1幢19-19</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重庆市九龙坡区渝州路4号一城精英国际1幢19-19</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刘莹</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023-89120957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靳芳元</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靳芳元</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刘莹</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2020年08月20日 上午至2020年08月20日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ascii="宋体" w:hAnsi="Times New Roman" w:eastAsia="宋体" w:cs="Times New Roman"/>
                <w:b/>
                <w:sz w:val="21"/>
                <w:szCs w:val="22"/>
              </w:rPr>
              <w:t>袋式粉尘收集器的销售及其相关环境管理活动</w:t>
            </w:r>
            <w:r>
              <w:rPr>
                <w:rFonts w:hint="eastAsia" w:ascii="宋体" w:hAnsi="Times New Roman" w:eastAsia="宋体" w:cs="Times New Roman"/>
                <w:b/>
                <w:sz w:val="21"/>
                <w:szCs w:val="22"/>
                <w:lang w:eastAsia="zh-CN"/>
              </w:rPr>
              <w:t>。</w:t>
            </w:r>
          </w:p>
          <w:p>
            <w:pPr>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ascii="宋体" w:hAnsi="Times New Roman" w:eastAsia="宋体" w:cs="Times New Roman"/>
                <w:b/>
                <w:sz w:val="21"/>
                <w:szCs w:val="22"/>
              </w:rPr>
              <w:t>袋式粉尘收集器的销售及其相关职业健康安全管理活动</w:t>
            </w:r>
            <w:r>
              <w:rPr>
                <w:rFonts w:hint="eastAsia" w:ascii="宋体" w:hAnsi="Times New Roman" w:eastAsia="宋体" w:cs="Times New Roman"/>
                <w:b/>
                <w:sz w:val="21"/>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2022年09月17日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2019年09月11日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sz w:val="21"/>
                <w:szCs w:val="21"/>
              </w:rPr>
            </w:pPr>
            <w:r>
              <w:rPr>
                <w:color w:val="000000"/>
                <w:sz w:val="21"/>
                <w:szCs w:val="21"/>
              </w:rPr>
              <w:t>重庆市圆丰除尘技术有限责任公司</w:t>
            </w:r>
            <w:r>
              <w:rPr>
                <w:rFonts w:hint="eastAsia" w:ascii="宋体" w:hAnsi="宋体"/>
                <w:sz w:val="21"/>
                <w:szCs w:val="21"/>
              </w:rPr>
              <w:t>，公司地址：</w:t>
            </w:r>
            <w:r>
              <w:rPr>
                <w:sz w:val="21"/>
                <w:szCs w:val="21"/>
              </w:rPr>
              <w:t>重庆市九龙坡区渝州路4号一城精英国际1幢19-19</w:t>
            </w:r>
            <w:r>
              <w:rPr>
                <w:rFonts w:hint="eastAsia" w:ascii="宋体" w:hAnsi="宋体"/>
                <w:sz w:val="21"/>
                <w:szCs w:val="21"/>
              </w:rPr>
              <w:t>，主要从事袋式粉尘收集器的销售。</w:t>
            </w:r>
          </w:p>
          <w:p>
            <w:pPr>
              <w:spacing w:line="400" w:lineRule="exact"/>
              <w:ind w:firstLine="420" w:firstLineChars="200"/>
              <w:jc w:val="left"/>
              <w:rPr>
                <w:rFonts w:hint="eastAsia" w:ascii="宋体" w:hAnsi="宋体"/>
                <w:b/>
                <w:sz w:val="21"/>
                <w:szCs w:val="21"/>
              </w:rPr>
            </w:pPr>
            <w:r>
              <w:rPr>
                <w:rFonts w:hint="eastAsia" w:ascii="宋体" w:hAnsi="宋体" w:cs="Times New Roman"/>
                <w:sz w:val="21"/>
                <w:szCs w:val="21"/>
                <w:highlight w:val="none"/>
              </w:rPr>
              <w:t>现有员工数</w:t>
            </w:r>
            <w:r>
              <w:rPr>
                <w:rFonts w:hint="eastAsia" w:ascii="宋体" w:hAnsi="宋体" w:cs="Times New Roman"/>
                <w:sz w:val="21"/>
                <w:szCs w:val="21"/>
                <w:highlight w:val="none"/>
                <w:lang w:val="en-US" w:eastAsia="zh-CN"/>
              </w:rPr>
              <w:t>10</w:t>
            </w:r>
            <w:r>
              <w:rPr>
                <w:rFonts w:hint="eastAsia" w:ascii="宋体" w:hAnsi="宋体" w:cs="Times New Roman"/>
                <w:sz w:val="21"/>
                <w:szCs w:val="21"/>
                <w:highlight w:val="none"/>
              </w:rPr>
              <w:t>人，经营状况</w:t>
            </w:r>
            <w:r>
              <w:rPr>
                <w:rFonts w:hint="eastAsia" w:ascii="宋体" w:hAnsi="宋体" w:cs="Times New Roman"/>
                <w:sz w:val="21"/>
                <w:szCs w:val="21"/>
              </w:rPr>
              <w:t>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eastAsia="宋体" w:cs="Times New Roman"/>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exact"/>
              <w:ind w:right="210"/>
              <w:jc w:val="both"/>
              <w:rPr>
                <w:rFonts w:hint="eastAsia" w:ascii="宋体" w:hAnsi="宋体" w:eastAsia="宋体"/>
                <w:b/>
                <w:sz w:val="21"/>
                <w:szCs w:val="21"/>
                <w:lang w:eastAsia="zh-CN"/>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w:t>
            </w:r>
            <w:r>
              <w:rPr>
                <w:rFonts w:hint="eastAsia" w:ascii="宋体" w:hAnsi="宋体" w:cs="宋体"/>
                <w:color w:val="000000"/>
                <w:sz w:val="21"/>
                <w:szCs w:val="21"/>
                <w:lang w:eastAsia="zh-CN"/>
              </w:rPr>
              <w:t>：</w:t>
            </w:r>
            <w:r>
              <w:rPr>
                <w:rFonts w:hint="eastAsia" w:ascii="宋体" w:hAnsi="宋体" w:cs="宋体"/>
                <w:color w:val="000000"/>
                <w:sz w:val="21"/>
                <w:szCs w:val="21"/>
              </w:rPr>
              <w:t>最高管理者组织制定了方针</w:t>
            </w:r>
            <w:r>
              <w:rPr>
                <w:rFonts w:hint="eastAsia" w:ascii="宋体" w:hAnsi="宋体" w:cs="宋体"/>
                <w:color w:val="000000"/>
                <w:sz w:val="21"/>
                <w:szCs w:val="21"/>
                <w:lang w:eastAsia="zh-CN"/>
              </w:rPr>
              <w:t>，</w:t>
            </w:r>
            <w:r>
              <w:rPr>
                <w:rFonts w:hint="eastAsia" w:ascii="宋体" w:hAnsi="宋体"/>
                <w:color w:val="000000" w:themeColor="text1"/>
                <w:sz w:val="21"/>
                <w:szCs w:val="21"/>
              </w:rPr>
              <w:t>现行的管理方针在管理手册有专门的释议，具备适宜性。通过会议、张贴等方式进行传达宣贯，管理绩效表明其方针能够通过管理体系加以有效实施、实现及动态管理，实际未发生变更。管理方针：</w:t>
            </w:r>
            <w:r>
              <w:rPr>
                <w:rFonts w:hint="eastAsia" w:hAnsi="宋体" w:cs="宋体"/>
                <w:sz w:val="21"/>
                <w:szCs w:val="21"/>
              </w:rPr>
              <w:t>“</w:t>
            </w:r>
            <w:r>
              <w:rPr>
                <w:rFonts w:hint="eastAsia" w:ascii="宋体" w:hAnsi="宋体" w:cs="宋体"/>
                <w:kern w:val="0"/>
                <w:sz w:val="21"/>
                <w:szCs w:val="21"/>
              </w:rPr>
              <w:t>科学管理、合法经营；优质高效、顾客满意；预防污染、保护环境；关爱生命、保障健康</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eastAsia="zh-CN"/>
              </w:rPr>
              <w:t>采购、</w:t>
            </w:r>
            <w:r>
              <w:rPr>
                <w:rFonts w:hint="eastAsia" w:ascii="宋体" w:hAnsi="宋体" w:cs="宋体"/>
                <w:color w:val="000000" w:themeColor="text1"/>
                <w:sz w:val="21"/>
                <w:szCs w:val="21"/>
                <w:lang w:val="en-US" w:eastAsia="zh-CN"/>
              </w:rPr>
              <w:t>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 w:val="21"/>
                <w:szCs w:val="21"/>
              </w:rPr>
            </w:pPr>
            <w:r>
              <w:rPr>
                <w:rFonts w:hint="eastAsia"/>
                <w:color w:val="000000"/>
                <w:sz w:val="21"/>
                <w:szCs w:val="21"/>
              </w:rPr>
              <w:t>环境、职业健康安全目标：</w:t>
            </w:r>
          </w:p>
          <w:p>
            <w:pPr>
              <w:snapToGrid w:val="0"/>
              <w:ind w:firstLine="630" w:firstLineChars="300"/>
              <w:rPr>
                <w:rFonts w:ascii="宋体" w:hAnsi="宋体" w:cs="宋体"/>
                <w:kern w:val="0"/>
                <w:sz w:val="21"/>
                <w:szCs w:val="21"/>
              </w:rPr>
            </w:pPr>
            <w:r>
              <w:rPr>
                <w:rFonts w:hint="eastAsia" w:ascii="宋体" w:hAnsi="宋体" w:cs="宋体"/>
                <w:kern w:val="0"/>
                <w:sz w:val="21"/>
                <w:szCs w:val="21"/>
              </w:rPr>
              <w:t>1、火灾事故为0；</w:t>
            </w:r>
          </w:p>
          <w:p>
            <w:pPr>
              <w:snapToGrid w:val="0"/>
              <w:ind w:firstLine="630" w:firstLineChars="300"/>
              <w:rPr>
                <w:rFonts w:ascii="宋体" w:hAnsi="宋体" w:cs="宋体"/>
                <w:kern w:val="0"/>
                <w:sz w:val="21"/>
                <w:szCs w:val="21"/>
              </w:rPr>
            </w:pPr>
            <w:r>
              <w:rPr>
                <w:rFonts w:hint="eastAsia" w:ascii="宋体" w:hAnsi="宋体" w:cs="宋体"/>
                <w:kern w:val="0"/>
                <w:sz w:val="21"/>
                <w:szCs w:val="21"/>
              </w:rPr>
              <w:t>2、固废分类回收率100%；</w:t>
            </w:r>
          </w:p>
          <w:p>
            <w:pPr>
              <w:snapToGrid w:val="0"/>
              <w:ind w:firstLine="630" w:firstLineChars="300"/>
              <w:rPr>
                <w:rFonts w:ascii="宋体" w:hAnsi="宋体" w:cs="宋体"/>
                <w:kern w:val="0"/>
                <w:szCs w:val="21"/>
              </w:rPr>
            </w:pPr>
            <w:r>
              <w:rPr>
                <w:rFonts w:hint="eastAsia" w:ascii="宋体" w:hAnsi="宋体" w:cs="宋体"/>
                <w:kern w:val="0"/>
                <w:sz w:val="21"/>
                <w:szCs w:val="21"/>
              </w:rPr>
              <w:t>3、人身伤害</w:t>
            </w:r>
            <w:r>
              <w:rPr>
                <w:rFonts w:hint="eastAsia" w:ascii="宋体" w:hAnsi="宋体" w:cs="宋体"/>
                <w:kern w:val="0"/>
                <w:szCs w:val="21"/>
              </w:rPr>
              <w:t>为0；</w:t>
            </w:r>
          </w:p>
          <w:p>
            <w:pPr>
              <w:ind w:firstLine="630" w:firstLineChars="300"/>
              <w:rPr>
                <w:rFonts w:hint="default" w:ascii="宋体" w:hAnsi="宋体" w:eastAsia="宋体"/>
                <w:b/>
                <w:sz w:val="21"/>
                <w:szCs w:val="21"/>
                <w:lang w:val="en-US" w:eastAsia="zh-CN"/>
              </w:rPr>
            </w:pPr>
            <w:r>
              <w:rPr>
                <w:rFonts w:hint="eastAsia" w:ascii="宋体" w:hAnsi="宋体" w:cs="宋体"/>
                <w:kern w:val="0"/>
                <w:sz w:val="21"/>
                <w:szCs w:val="21"/>
              </w:rPr>
              <w:t>4、火灾事故为0。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w:t>
            </w:r>
            <w:r>
              <w:rPr>
                <w:rFonts w:hint="eastAsia" w:ascii="宋体" w:hAnsi="宋体" w:cs="宋体"/>
                <w:color w:val="000000" w:themeColor="text1"/>
                <w:sz w:val="21"/>
                <w:szCs w:val="21"/>
              </w:rPr>
              <w:t>，建立并形成了文件化的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2018</w:t>
            </w:r>
            <w:r>
              <w:rPr>
                <w:rFonts w:hint="eastAsia" w:ascii="宋体" w:hAnsi="宋体" w:cs="宋体"/>
                <w:color w:val="000000" w:themeColor="text1"/>
                <w:sz w:val="21"/>
                <w:szCs w:val="21"/>
              </w:rPr>
              <w:t>年11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袋式粉尘收集器的销售</w:t>
            </w:r>
            <w:r>
              <w:rPr>
                <w:rFonts w:hint="eastAsia" w:ascii="宋体" w:hAnsi="宋体"/>
                <w:bCs/>
                <w:iCs/>
                <w:sz w:val="21"/>
                <w:szCs w:val="21"/>
              </w:rPr>
              <w:t>及相关服务运行环境，可以维持管理体系的正常运行。</w:t>
            </w:r>
          </w:p>
          <w:p>
            <w:pPr>
              <w:spacing w:line="300" w:lineRule="exact"/>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sz w:val="21"/>
                <w:szCs w:val="21"/>
              </w:rPr>
              <w:t>办公场所面积100平方左右。</w:t>
            </w:r>
            <w:r>
              <w:rPr>
                <w:rFonts w:hint="eastAsia" w:ascii="宋体" w:hAnsi="宋体" w:cs="宋体"/>
                <w:sz w:val="21"/>
                <w:szCs w:val="21"/>
              </w:rPr>
              <w:t>主要设备为电脑、打印机、传真机等办公设备</w:t>
            </w:r>
            <w:r>
              <w:rPr>
                <w:rFonts w:hint="eastAsia" w:ascii="宋体" w:hAnsi="宋体"/>
                <w:sz w:val="21"/>
                <w:szCs w:val="21"/>
              </w:rPr>
              <w:t>，可以满足袋式粉尘收集器的销售的需要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cs="宋体"/>
                <w:sz w:val="21"/>
                <w:szCs w:val="21"/>
              </w:rPr>
              <w:t>办公、服务场所和内设备布置合理，通道畅通，照明设施齐全，均配备了消防设施等设施。办公室明亮，培训场所光线较充足。每月由综合部对工作环境进行定期检查。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eastAsia="宋体"/>
                <w:b/>
                <w:sz w:val="21"/>
                <w:szCs w:val="21"/>
                <w:lang w:val="en-US" w:eastAsia="zh-CN"/>
              </w:rPr>
            </w:pPr>
            <w:r>
              <w:rPr>
                <w:rFonts w:hint="eastAsia" w:asci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r>
              <w:rPr>
                <w:rFonts w:hint="eastAsia" w:ascii="宋体" w:hAnsi="宋体"/>
                <w:sz w:val="20"/>
                <w:szCs w:val="20"/>
              </w:rPr>
              <w:t>消防栓、灭火器</w:t>
            </w:r>
            <w:r>
              <w:rPr>
                <w:rFonts w:hint="eastAsia" w:ascii="宋体" w:hAnsi="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宋体" w:hAnsi="宋体"/>
                <w:b/>
                <w:sz w:val="21"/>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cs="宋体"/>
                <w:color w:val="000000"/>
                <w:sz w:val="21"/>
                <w:szCs w:val="21"/>
                <w:lang w:eastAsia="zh-CN"/>
              </w:rPr>
              <w:t>现场</w:t>
            </w:r>
            <w:r>
              <w:rPr>
                <w:rFonts w:hint="eastAsia" w:ascii="宋体" w:hAnsi="宋体" w:cs="宋体"/>
                <w:color w:val="000000"/>
                <w:sz w:val="2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sz w:val="21"/>
                <w:szCs w:val="21"/>
              </w:rPr>
              <w:t>固废排放、潜在火灾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w:t>
            </w:r>
            <w:r>
              <w:rPr>
                <w:rFonts w:hint="eastAsia" w:asciiTheme="minorEastAsia" w:hAnsiTheme="minorEastAsia" w:eastAsiaTheme="minorEastAsia"/>
                <w:bCs/>
                <w:iCs/>
                <w:sz w:val="21"/>
                <w:szCs w:val="21"/>
                <w:lang w:eastAsia="zh-CN"/>
              </w:rPr>
              <w:t>采购、销售</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w:t>
            </w:r>
            <w:r>
              <w:rPr>
                <w:rFonts w:hint="eastAsia" w:asciiTheme="minorEastAsia" w:hAnsiTheme="minorEastAsia" w:eastAsiaTheme="minorEastAsia"/>
                <w:bCs/>
                <w:iCs/>
                <w:sz w:val="21"/>
                <w:szCs w:val="21"/>
                <w:lang w:eastAsia="zh-CN"/>
              </w:rPr>
              <w:t>等</w:t>
            </w:r>
            <w:r>
              <w:rPr>
                <w:rFonts w:hint="eastAsia" w:asciiTheme="minorEastAsia" w:hAnsiTheme="minorEastAsia" w:eastAsiaTheme="minorEastAsia"/>
                <w:bCs/>
                <w:iCs/>
                <w:sz w:val="21"/>
                <w:szCs w:val="21"/>
              </w:rPr>
              <w:t>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火灾、触电、交通事故等），与之相关的过程有采购、验收、销售过程，针对不可接受风险制定了管理方案。控制措施实施有效。</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w:t>
            </w:r>
            <w:r>
              <w:rPr>
                <w:rFonts w:hint="eastAsia" w:asciiTheme="minorEastAsia" w:hAnsiTheme="minorEastAsia" w:eastAsiaTheme="minorEastAsia"/>
                <w:bCs/>
                <w:iCs/>
                <w:sz w:val="21"/>
                <w:szCs w:val="21"/>
                <w:lang w:eastAsia="zh-CN"/>
              </w:rPr>
              <w:t>、触电</w:t>
            </w:r>
            <w:r>
              <w:rPr>
                <w:rFonts w:hint="eastAsia" w:asciiTheme="minorEastAsia" w:hAnsiTheme="minorEastAsia" w:eastAsiaTheme="minorEastAsia"/>
                <w:bCs/>
                <w:iCs/>
                <w:sz w:val="21"/>
                <w:szCs w:val="21"/>
              </w:rPr>
              <w:t>，识别合理、有效。应急物资配备有灭火器和消防栓</w:t>
            </w:r>
            <w:r>
              <w:rPr>
                <w:rFonts w:hint="eastAsia" w:asciiTheme="minorEastAsia" w:hAnsiTheme="minorEastAsia" w:eastAsiaTheme="minorEastAsia"/>
                <w:bCs/>
                <w:iCs/>
                <w:sz w:val="21"/>
                <w:szCs w:val="21"/>
                <w:lang w:eastAsia="zh-CN"/>
              </w:rPr>
              <w:t>、配电箱</w:t>
            </w:r>
            <w:r>
              <w:rPr>
                <w:rFonts w:hint="eastAsia" w:asciiTheme="minorEastAsia" w:hAnsiTheme="minorEastAsia" w:eastAsiaTheme="minorEastAsia"/>
                <w:bCs/>
                <w:iCs/>
                <w:sz w:val="21"/>
                <w:szCs w:val="21"/>
              </w:rPr>
              <w:t>，编制有应急预案，并组织了演练，并对应急预案进行了评价。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2020年6</w:t>
            </w:r>
            <w:r>
              <w:rPr>
                <w:rFonts w:hint="eastAsia" w:ascii="宋体" w:hAnsi="宋体" w:cs="宋体"/>
                <w:color w:val="000000"/>
                <w:sz w:val="21"/>
                <w:szCs w:val="21"/>
                <w:highlight w:val="none"/>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b/>
                <w:bCs/>
                <w:sz w:val="21"/>
                <w:szCs w:val="21"/>
              </w:rPr>
            </w:pPr>
            <w:r>
              <w:rPr>
                <w:rFonts w:hint="eastAsia"/>
                <w:b/>
                <w:bCs/>
                <w:sz w:val="21"/>
                <w:szCs w:val="21"/>
              </w:rPr>
              <w:t>顾客满意</w:t>
            </w:r>
          </w:p>
          <w:p>
            <w:pPr>
              <w:pStyle w:val="2"/>
              <w:numPr>
                <w:ilvl w:val="0"/>
                <w:numId w:val="0"/>
              </w:num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w:t>
            </w:r>
            <w:r>
              <w:rPr>
                <w:rFonts w:hint="eastAsia" w:ascii="宋体" w:hAnsi="宋体" w:eastAsia="宋体" w:cs="宋体"/>
                <w:sz w:val="21"/>
                <w:szCs w:val="21"/>
                <w:highlight w:val="none"/>
              </w:rPr>
              <w:t xml:space="preserve">次一年一次，内审时间： </w:t>
            </w:r>
            <w:r>
              <w:rPr>
                <w:rFonts w:hint="eastAsia" w:ascii="宋体" w:hAnsi="宋体" w:eastAsia="宋体" w:cs="宋体"/>
                <w:sz w:val="21"/>
                <w:szCs w:val="21"/>
                <w:highlight w:val="none"/>
                <w:lang w:eastAsia="zh-CN"/>
              </w:rPr>
              <w:t>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16</w:t>
            </w:r>
            <w:r>
              <w:rPr>
                <w:rFonts w:hint="eastAsia" w:ascii="宋体" w:hAnsi="宋体" w:eastAsia="宋体" w:cs="宋体"/>
                <w:sz w:val="21"/>
                <w:szCs w:val="21"/>
                <w:highlight w:val="none"/>
                <w:lang w:eastAsia="zh-CN"/>
              </w:rPr>
              <w:t>日至</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，拟定了审核实施表，明确了内审范围，内审人员经培</w:t>
            </w:r>
            <w:r>
              <w:rPr>
                <w:rFonts w:hint="eastAsia" w:ascii="宋体" w:hAnsi="宋体" w:cs="宋体"/>
                <w:sz w:val="21"/>
                <w:szCs w:val="21"/>
                <w:highlight w:val="none"/>
              </w:rPr>
              <w:t>训合格上岗，能力满足要求，未出现审核本部门情况，内</w:t>
            </w:r>
            <w:r>
              <w:rPr>
                <w:rFonts w:hint="eastAsia" w:ascii="宋体" w:hAnsi="宋体" w:eastAsia="宋体" w:cs="宋体"/>
                <w:sz w:val="21"/>
                <w:szCs w:val="21"/>
                <w:highlight w:val="none"/>
              </w:rPr>
              <w:t>审不符合项1项，</w:t>
            </w:r>
            <w:r>
              <w:rPr>
                <w:rFonts w:hint="eastAsia"/>
                <w:sz w:val="21"/>
                <w:szCs w:val="21"/>
                <w:highlight w:val="none"/>
              </w:rPr>
              <w:t>涉及</w:t>
            </w:r>
            <w:r>
              <w:rPr>
                <w:rFonts w:hint="eastAsia"/>
                <w:sz w:val="21"/>
                <w:szCs w:val="21"/>
                <w:highlight w:val="none"/>
                <w:lang w:eastAsia="zh-CN"/>
              </w:rPr>
              <w:t>综合</w:t>
            </w:r>
            <w:r>
              <w:rPr>
                <w:rFonts w:hint="eastAsia"/>
                <w:sz w:val="21"/>
                <w:szCs w:val="21"/>
                <w:highlight w:val="none"/>
              </w:rPr>
              <w:t>部</w:t>
            </w:r>
            <w:r>
              <w:rPr>
                <w:rFonts w:hint="eastAsia"/>
                <w:sz w:val="21"/>
                <w:szCs w:val="21"/>
                <w:highlight w:val="none"/>
                <w:lang w:val="en-US" w:eastAsia="zh-CN"/>
              </w:rPr>
              <w:t>E8.2、S4.4.7条款</w:t>
            </w:r>
            <w:r>
              <w:rPr>
                <w:rFonts w:hint="eastAsia"/>
                <w:sz w:val="21"/>
                <w:szCs w:val="21"/>
                <w:highlight w:val="none"/>
                <w:lang w:eastAsia="zh-CN"/>
              </w:rPr>
              <w:t>，办公室有</w:t>
            </w:r>
            <w:r>
              <w:rPr>
                <w:rFonts w:hint="eastAsia"/>
                <w:sz w:val="21"/>
                <w:szCs w:val="21"/>
                <w:highlight w:val="none"/>
                <w:lang w:val="en-US" w:eastAsia="zh-CN"/>
              </w:rPr>
              <w:t>1支灭火器已过期</w:t>
            </w:r>
            <w:r>
              <w:rPr>
                <w:rFonts w:hint="eastAsia"/>
                <w:sz w:val="21"/>
                <w:szCs w:val="21"/>
                <w:highlight w:val="none"/>
                <w:lang w:eastAsia="zh-CN"/>
              </w:rPr>
              <w:t>，未及时更换</w:t>
            </w:r>
            <w:r>
              <w:rPr>
                <w:rFonts w:hint="eastAsia" w:ascii="宋体" w:hAnsi="宋体" w:eastAsia="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25</w:t>
            </w:r>
            <w:r>
              <w:rPr>
                <w:rFonts w:hint="eastAsia" w:ascii="宋体" w:hAnsi="宋体" w:cs="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2"/>
              <w:rPr>
                <w:rFonts w:hint="eastAsia" w:ascii="方正仿宋简体" w:eastAsia="方正仿宋简体"/>
                <w:szCs w:val="21"/>
                <w:lang w:eastAsia="zh-CN"/>
              </w:rPr>
            </w:pPr>
            <w:r>
              <w:rPr>
                <w:rFonts w:hint="eastAsia" w:ascii="宋体" w:hAnsi="宋体"/>
                <w:b/>
                <w:sz w:val="21"/>
                <w:szCs w:val="21"/>
                <w:lang w:val="en-US" w:eastAsia="zh-CN"/>
              </w:rPr>
              <w:t xml:space="preserve"> 不适应</w:t>
            </w:r>
          </w:p>
          <w:p>
            <w:pPr>
              <w:numPr>
                <w:ilvl w:val="0"/>
                <w:numId w:val="0"/>
              </w:numPr>
              <w:spacing w:line="240" w:lineRule="exact"/>
              <w:ind w:left="0" w:leftChars="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eastAsia="宋体" w:cs="宋体"/>
                <w:color w:val="auto"/>
                <w:sz w:val="21"/>
                <w:szCs w:val="21"/>
                <w:highlight w:val="none"/>
              </w:rPr>
              <w:t>上次</w:t>
            </w:r>
            <w:r>
              <w:rPr>
                <w:rFonts w:hint="eastAsia" w:ascii="宋体" w:hAnsi="宋体" w:cs="宋体"/>
                <w:color w:val="auto"/>
                <w:sz w:val="21"/>
                <w:szCs w:val="21"/>
                <w:highlight w:val="none"/>
                <w:lang w:eastAsia="zh-CN"/>
              </w:rPr>
              <w:t>审核</w:t>
            </w:r>
            <w:r>
              <w:rPr>
                <w:rFonts w:hint="eastAsia" w:ascii="宋体" w:hAnsi="宋体" w:eastAsia="宋体" w:cs="宋体"/>
                <w:color w:val="auto"/>
                <w:sz w:val="21"/>
                <w:szCs w:val="21"/>
                <w:highlight w:val="none"/>
              </w:rPr>
              <w:t>不符合为</w:t>
            </w:r>
            <w:r>
              <w:rPr>
                <w:rFonts w:hint="eastAsia" w:ascii="宋体" w:hAnsi="宋体" w:cs="宋体"/>
                <w:color w:val="auto"/>
                <w:sz w:val="21"/>
                <w:szCs w:val="21"/>
                <w:highlight w:val="none"/>
                <w:lang w:eastAsia="zh-CN"/>
              </w:rPr>
              <w:t>行政部</w:t>
            </w:r>
            <w:r>
              <w:rPr>
                <w:rFonts w:hint="eastAsia" w:ascii="宋体" w:hAnsi="宋体" w:eastAsia="宋体" w:cs="宋体"/>
                <w:color w:val="auto"/>
                <w:sz w:val="21"/>
                <w:szCs w:val="21"/>
                <w:highlight w:val="none"/>
                <w:lang w:val="en-US" w:eastAsia="zh-CN"/>
              </w:rPr>
              <w:t>S</w:t>
            </w:r>
            <w:r>
              <w:rPr>
                <w:rFonts w:hint="eastAsia" w:ascii="宋体" w:hAnsi="宋体" w:cs="宋体"/>
                <w:color w:val="auto"/>
                <w:sz w:val="21"/>
                <w:szCs w:val="21"/>
                <w:highlight w:val="none"/>
                <w:lang w:val="en-US" w:eastAsia="zh-CN"/>
              </w:rPr>
              <w:t>4.3.3条款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hint="eastAsia"/>
          <w:b/>
          <w:spacing w:val="-10"/>
          <w:szCs w:val="21"/>
          <w:lang w:eastAsia="zh-CN"/>
        </w:rPr>
      </w:pPr>
    </w:p>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bookmarkStart w:id="28" w:name="_GoBack"/>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10240;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供销部E8.1</w:t>
      </w:r>
      <w:r>
        <w:rPr>
          <w:rFonts w:hint="eastAsia"/>
          <w:b/>
          <w:sz w:val="26"/>
          <w:szCs w:val="26"/>
          <w:highlight w:val="none"/>
        </w:rPr>
        <w:t>条款，见不符合</w:t>
      </w:r>
      <w:r>
        <w:rPr>
          <w:rFonts w:hint="eastAsia" w:ascii="宋体" w:hAnsi="宋体"/>
          <w:b/>
          <w:szCs w:val="21"/>
          <w:highlight w:val="none"/>
        </w:rPr>
        <w:t>项分布表。（Q/J/E/S分开填写）</w:t>
      </w:r>
    </w:p>
    <w:bookmarkEnd w:id="28"/>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lang w:eastAsia="zh-CN"/>
              </w:rPr>
              <w:t>重庆市圆丰除尘技术有限责任公司</w:t>
            </w:r>
            <w:r>
              <w:rPr>
                <w:rFonts w:hint="eastAsia" w:ascii="微软雅黑" w:hAnsi="微软雅黑" w:eastAsia="微软雅黑"/>
                <w:bCs/>
                <w:szCs w:val="24"/>
              </w:rPr>
              <w:t>）的</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pStyle w:val="2"/>
      </w:pPr>
    </w:p>
    <w:p>
      <w:pPr>
        <w:snapToGrid w:val="0"/>
        <w:spacing w:line="360" w:lineRule="auto"/>
        <w:ind w:left="-211" w:leftChars="-88" w:firstLine="582" w:firstLineChars="223"/>
        <w:rPr>
          <w:rFonts w:hint="eastAsia" w:ascii="宋体" w:eastAsia="宋体"/>
          <w:b/>
          <w:szCs w:val="21"/>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pacing w:before="163" w:beforeLines="50" w:after="163" w:afterLines="50"/>
        <w:ind w:left="-122" w:leftChars="-51" w:firstLine="120" w:firstLineChars="46"/>
        <w:rPr>
          <w:b/>
          <w:color w:val="FF0000"/>
          <w:sz w:val="26"/>
          <w:szCs w:val="26"/>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asciiTheme="minorEastAsia" w:hAnsiTheme="minorEastAsia" w:eastAsiaTheme="minorEastAsia" w:cstheme="minorEastAsia"/>
          <w:b/>
          <w:sz w:val="24"/>
          <w:szCs w:val="24"/>
          <w:lang w:val="en-US" w:eastAsia="zh-CN"/>
        </w:rPr>
        <w:t>2020.8.20</w:t>
      </w:r>
    </w:p>
    <w:p>
      <w:pPr>
        <w:snapToGrid w:val="0"/>
        <w:spacing w:line="200" w:lineRule="exact"/>
        <w:ind w:firstLine="482" w:firstLineChars="300"/>
        <w:rPr>
          <w:b/>
          <w:sz w:val="16"/>
          <w:szCs w:val="1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EMS </w:t>
      </w:r>
      <w:r>
        <w:rPr>
          <w:rFonts w:hint="eastAsia"/>
          <w:b/>
          <w:bCs/>
          <w:sz w:val="21"/>
          <w:szCs w:val="21"/>
          <w:highlight w:val="none"/>
        </w:rPr>
        <w:t>(    )</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lang w:val="en-US" w:eastAsia="zh-CN"/>
        </w:rPr>
        <w:t xml:space="preserve">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 xml:space="preserve">OHSMS </w:t>
      </w:r>
      <w:r>
        <w:rPr>
          <w:rFonts w:hint="eastAsia"/>
          <w:b/>
          <w:bCs/>
          <w:sz w:val="21"/>
          <w:szCs w:val="21"/>
          <w:highlight w:val="none"/>
        </w:rPr>
        <w:t>(    )</w:t>
      </w:r>
      <w:r>
        <w:rPr>
          <w:rFonts w:hint="eastAsia"/>
          <w:b/>
          <w:sz w:val="21"/>
          <w:szCs w:val="21"/>
          <w:highlight w:val="none"/>
        </w:rPr>
        <w:t>个一般不符合，</w:t>
      </w:r>
      <w:r>
        <w:rPr>
          <w:rFonts w:hint="eastAsia"/>
          <w:b/>
          <w:bCs/>
          <w:sz w:val="21"/>
          <w:szCs w:val="21"/>
          <w:highlight w:val="none"/>
        </w:rPr>
        <w:t>(    )</w:t>
      </w:r>
      <w:r>
        <w:rPr>
          <w:rFonts w:hint="eastAsia"/>
          <w:b/>
          <w:sz w:val="21"/>
          <w:szCs w:val="21"/>
          <w:highlight w:val="none"/>
        </w:rPr>
        <w:t>个严重不符合，</w:t>
      </w:r>
      <w:r>
        <w:rPr>
          <w:rFonts w:hint="eastAsia"/>
          <w:b/>
          <w:spacing w:val="-10"/>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rFonts w:hint="eastAsia"/>
          <w:b/>
          <w:sz w:val="21"/>
          <w:szCs w:val="21"/>
          <w:highlight w:val="none"/>
        </w:rPr>
      </w:pPr>
      <w:r>
        <w:rPr>
          <w:rFonts w:hint="eastAsia"/>
          <w:b/>
          <w:spacing w:val="-10"/>
          <w:sz w:val="21"/>
          <w:szCs w:val="21"/>
          <w:highlight w:val="none"/>
          <w:lang w:eastAsia="zh-CN"/>
        </w:rPr>
        <w:t>□</w:t>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pStyle w:val="2"/>
      </w:pPr>
    </w:p>
    <w:p>
      <w:pPr>
        <w:tabs>
          <w:tab w:val="left" w:pos="3950"/>
          <w:tab w:val="left" w:pos="7740"/>
        </w:tabs>
        <w:snapToGrid w:val="0"/>
        <w:spacing w:before="163" w:beforeLines="50"/>
        <w:ind w:firstLine="723" w:firstLineChars="343"/>
        <w:rPr>
          <w:rFonts w:hint="eastAsia"/>
          <w:b/>
          <w:sz w:val="21"/>
          <w:szCs w:val="21"/>
          <w:highlight w:val="none"/>
          <w:lang w:val="en-US" w:eastAsia="zh-CN"/>
        </w:rPr>
      </w:pPr>
      <w:r>
        <w:rPr>
          <w:rFonts w:hint="eastAsia"/>
          <w:b/>
          <w:sz w:val="21"/>
          <w:szCs w:val="21"/>
          <w:highlight w:val="none"/>
        </w:rPr>
        <w:t>组长签字：</w:t>
      </w:r>
      <w:r>
        <w:rPr>
          <w:rFonts w:hint="eastAsia"/>
          <w:b/>
          <w:sz w:val="21"/>
          <w:szCs w:val="21"/>
          <w:highlight w:val="none"/>
          <w:lang w:val="en-US" w:eastAsia="zh-CN"/>
        </w:rPr>
        <w:t xml:space="preserve"> </w:t>
      </w:r>
      <w:r>
        <w:rPr>
          <w:rFonts w:hint="eastAsia"/>
          <w:b/>
          <w:sz w:val="21"/>
          <w:szCs w:val="21"/>
          <w:highlight w:val="none"/>
          <w:lang w:val="en-US" w:eastAsia="zh-CN"/>
        </w:rPr>
        <w:tab/>
      </w:r>
      <w:r>
        <w:rPr>
          <w:rFonts w:hint="eastAsia"/>
          <w:b/>
          <w:sz w:val="21"/>
          <w:szCs w:val="21"/>
          <w:highlight w:val="none"/>
          <w:lang w:val="en-US" w:eastAsia="zh-CN"/>
        </w:rPr>
        <w:t>日期：</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0347EBF"/>
    <w:multiLevelType w:val="singleLevel"/>
    <w:tmpl w:val="D0347EBF"/>
    <w:lvl w:ilvl="0" w:tentative="0">
      <w:start w:val="2"/>
      <w:numFmt w:val="decimal"/>
      <w:lvlText w:val="%1."/>
      <w:lvlJc w:val="left"/>
      <w:pPr>
        <w:tabs>
          <w:tab w:val="left" w:pos="312"/>
        </w:tabs>
      </w:pPr>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AE0E81F"/>
    <w:multiLevelType w:val="singleLevel"/>
    <w:tmpl w:val="6AE0E81F"/>
    <w:lvl w:ilvl="0" w:tentative="0">
      <w:start w:val="2"/>
      <w:numFmt w:val="decimal"/>
      <w:suff w:val="nothing"/>
      <w:lvlText w:val="%1、"/>
      <w:lvlJc w:val="left"/>
    </w:lvl>
  </w:abstractNum>
  <w:num w:numId="1">
    <w:abstractNumId w:val="6"/>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D5D93"/>
    <w:rsid w:val="1D990784"/>
    <w:rsid w:val="32107C48"/>
    <w:rsid w:val="4B375492"/>
    <w:rsid w:val="4B7D60F9"/>
    <w:rsid w:val="4E0376BB"/>
    <w:rsid w:val="540B0332"/>
    <w:rsid w:val="57CE1A4C"/>
    <w:rsid w:val="6F031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2020-08-20T04:06:02Z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