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57"/>
        <w:gridCol w:w="485"/>
        <w:gridCol w:w="75"/>
        <w:gridCol w:w="101"/>
        <w:gridCol w:w="589"/>
        <w:gridCol w:w="26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重庆新希马电梯装饰有限公司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重庆市九龙坡区九龙园区B3区龙渡路91号-附9号2-1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邓建伟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023- 86902622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400052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电梯装饰材料、不锈钢金属制品的加工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2020年08月20日 上午至2020年08月20日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1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51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2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2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2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2020年08月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r>
              <w:rPr>
                <w:rFonts w:hint="eastAsia"/>
                <w:b/>
                <w:sz w:val="20"/>
              </w:rPr>
              <w:t>2020年08月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8:30-10:00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 9.3管理评审；10.1改进 总则；10.3持续改进；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10：00-12：00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5.3组织的角色、职责和权限；6.2质量目标及其实现的策划；7.1.2人员；；7.1.6组织知识；7.2能力；7.3意识；7.4沟通；7.5文件化信息；9.1.1监测、分析和评价总则；9.1.3分析和评价；9.2内部审核；10.2不合格和纠正措施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生产部：张心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8.3设计开发控制；8.7不合格输出的控制；7.1.5监视和测量资源；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12：00-13:00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5.3组织的角色、职责和权限；6.2质量目标及其实现的策划8.2产品和服务的要求；9.1.2顾客满意；8.5.3顾客或外部供方的财产；8.5.5交付后的活动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生产部：张心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7.1.3基础设施；7.1.4过程运行环境；8.5.1生产和服务提供的控制；8.5.2标识和可追溯性；8.5.4防护；8.5.6更改控制；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2908D4"/>
    <w:rsid w:val="25302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2020-08-18T10:18:56Z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