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受审核部门：管理层、</w:t>
      </w:r>
      <w:r>
        <w:rPr>
          <w:rFonts w:hint="eastAsia"/>
          <w:sz w:val="24"/>
          <w:szCs w:val="24"/>
          <w:lang w:eastAsia="zh-CN"/>
        </w:rPr>
        <w:t>行政部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eastAsia="zh-CN"/>
        </w:rPr>
        <w:t>市场部、</w:t>
      </w:r>
      <w:r>
        <w:rPr>
          <w:rFonts w:hint="eastAsia"/>
          <w:sz w:val="24"/>
          <w:szCs w:val="24"/>
          <w:lang w:val="en-US" w:eastAsia="zh-CN"/>
        </w:rPr>
        <w:t xml:space="preserve">技术部    </w:t>
      </w:r>
    </w:p>
    <w:p>
      <w:pPr>
        <w:spacing w:line="480" w:lineRule="exact"/>
        <w:jc w:val="left"/>
        <w:rPr>
          <w:rFonts w:hint="eastAsia" w:ascii="隶书" w:hAnsi="宋体" w:eastAsia="宋体"/>
          <w:bCs/>
          <w:color w:val="000000"/>
          <w:sz w:val="36"/>
          <w:szCs w:val="36"/>
          <w:lang w:eastAsia="zh-CN"/>
        </w:rPr>
      </w:pPr>
      <w:r>
        <w:rPr>
          <w:rFonts w:hint="eastAsia"/>
          <w:sz w:val="24"/>
          <w:szCs w:val="24"/>
        </w:rPr>
        <w:t>陪同人员：</w:t>
      </w:r>
      <w:bookmarkStart w:id="0" w:name="联系人"/>
      <w:r>
        <w:rPr>
          <w:sz w:val="21"/>
          <w:szCs w:val="21"/>
        </w:rPr>
        <w:t>万亮骑</w:t>
      </w:r>
      <w:bookmarkEnd w:id="0"/>
      <w:r>
        <w:rPr>
          <w:rFonts w:hint="eastAsia"/>
          <w:sz w:val="24"/>
          <w:szCs w:val="24"/>
          <w:lang w:val="en-US" w:eastAsia="zh-CN"/>
        </w:rPr>
        <w:t xml:space="preserve"> ，  </w:t>
      </w: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  <w:lang w:eastAsia="zh-CN"/>
        </w:rPr>
        <w:t>杨珍全、</w:t>
      </w:r>
      <w:r>
        <w:rPr>
          <w:rFonts w:hint="eastAsia"/>
          <w:sz w:val="24"/>
          <w:szCs w:val="24"/>
          <w:lang w:val="en-US" w:eastAsia="zh-CN"/>
        </w:rPr>
        <w:t>余家龙（E审核员、Q实习审核员）、陈伟（E/S实习审核员）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审核时间：2020年</w:t>
      </w: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18</w:t>
      </w:r>
      <w:r>
        <w:rPr>
          <w:rFonts w:hint="eastAsia"/>
          <w:sz w:val="24"/>
          <w:szCs w:val="24"/>
        </w:rPr>
        <w:t>日</w:t>
      </w:r>
    </w:p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tbl>
      <w:tblPr>
        <w:tblStyle w:val="7"/>
        <w:tblW w:w="1512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625"/>
        <w:gridCol w:w="1004"/>
        <w:gridCol w:w="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1436" w:type="dxa"/>
            <w:gridSpan w:val="3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杨珍全、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余家龙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625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1004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80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EMS审核，询问有无以下场所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锅炉房、配电室、实验室、化学品库、污水处理站、食堂、宿舍、空压机房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管理体系文件名称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25" w:type="dxa"/>
          </w:tcPr>
          <w:p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成都宇翔科技有限公司，注册资金</w:t>
            </w:r>
            <w:r>
              <w:rPr>
                <w:rFonts w:hint="eastAsia"/>
                <w:szCs w:val="21"/>
                <w:lang w:val="en-US" w:eastAsia="zh-CN"/>
              </w:rPr>
              <w:t>陆</w:t>
            </w:r>
            <w:r>
              <w:rPr>
                <w:rFonts w:hint="eastAsia"/>
                <w:szCs w:val="21"/>
              </w:rPr>
              <w:t>佰万元，主要业务涉及无人机的研发、生产、销售、租赁及技术开发、技术服务，销售电子产品及机电产品等领域。公司主要研发无人机及集成任务载荷，专攻轻型多选翼任务载荷。公司拥有专业的技术、销售、财务及后勤团队，产品得到各行业单位及无人机厂商好评。现有员工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人，目前经营情况良好。</w:t>
            </w:r>
          </w:p>
          <w:p>
            <w:pPr>
              <w:pStyle w:val="13"/>
              <w:rPr>
                <w:rFonts w:hint="eastAsia"/>
              </w:rPr>
            </w:pPr>
          </w:p>
          <w:p>
            <w:pPr>
              <w:spacing w:line="0" w:lineRule="atLeas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查见企业营业执照副本，企业经营范围包含认证产品，具备有效资格，详见复印件。</w:t>
            </w:r>
          </w:p>
          <w:p>
            <w:pPr>
              <w:pStyle w:val="13"/>
              <w:rPr>
                <w:rFonts w:hint="eastAsia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该公司目前成立了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/>
                <w:szCs w:val="21"/>
              </w:rPr>
              <w:t>个部门：</w:t>
            </w:r>
            <w:r>
              <w:rPr>
                <w:rFonts w:hint="eastAsia" w:ascii="宋体" w:hAnsi="宋体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eastAsia="zh-CN"/>
              </w:rPr>
              <w:t>市场部、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技术部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抽查：组织机构图、职能分配表、职责描述，基本保持一致。</w:t>
            </w:r>
          </w:p>
          <w:p>
            <w:pPr>
              <w:spacing w:line="240" w:lineRule="atLeast"/>
              <w:ind w:left="630" w:leftChars="200" w:hanging="210" w:hanging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核实：</w:t>
            </w:r>
            <w:r>
              <w:rPr>
                <w:rFonts w:hint="eastAsia"/>
                <w:color w:val="000000"/>
                <w:szCs w:val="21"/>
                <w:lang w:val="de-DE"/>
              </w:rPr>
              <w:t>生产经营地址：</w:t>
            </w:r>
            <w:bookmarkStart w:id="1" w:name="生产地址"/>
            <w:r>
              <w:t>成都高新区天府软件园D区B07办公室</w:t>
            </w:r>
            <w:bookmarkEnd w:id="1"/>
            <w:r>
              <w:rPr>
                <w:rFonts w:hint="eastAsia"/>
                <w:color w:val="000000"/>
                <w:szCs w:val="21"/>
                <w:lang w:val="de-DE"/>
              </w:rPr>
              <w:t>，与</w:t>
            </w:r>
            <w:r>
              <w:rPr>
                <w:rFonts w:hint="eastAsia" w:ascii="宋体" w:hAnsi="宋体"/>
                <w:szCs w:val="21"/>
              </w:rPr>
              <w:t>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经确认，认证范围为</w:t>
            </w:r>
          </w:p>
          <w:p>
            <w:pPr>
              <w:rPr>
                <w:rFonts w:hint="eastAsia" w:eastAsia="宋体"/>
                <w:color w:val="000000"/>
                <w:szCs w:val="21"/>
                <w:lang w:eastAsia="zh-CN"/>
              </w:rPr>
            </w:pPr>
            <w:bookmarkStart w:id="2" w:name="审核范围"/>
            <w:r>
              <w:rPr>
                <w:rFonts w:hint="eastAsia" w:ascii="宋体" w:hAnsi="宋体"/>
                <w:szCs w:val="21"/>
              </w:rPr>
              <w:t>Q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MS</w:t>
            </w:r>
            <w:r>
              <w:rPr>
                <w:rFonts w:hint="eastAsia" w:ascii="宋体" w:hAnsi="宋体"/>
                <w:szCs w:val="21"/>
              </w:rPr>
              <w:t>：无人机研发、销售及技术服务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E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ES</w:t>
            </w:r>
            <w:r>
              <w:rPr>
                <w:rFonts w:hint="eastAsia" w:ascii="宋体" w:hAnsi="宋体"/>
                <w:szCs w:val="21"/>
              </w:rPr>
              <w:t>：无人机研发、销售及技术服务所涉及的相关环境管理活动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HSMS</w:t>
            </w:r>
            <w:r>
              <w:rPr>
                <w:rFonts w:hint="eastAsia" w:ascii="宋体" w:hAnsi="宋体"/>
                <w:szCs w:val="21"/>
              </w:rPr>
              <w:t>：无人机研发、销售及技术服务所涉及的相关职业健康安全管理活动</w:t>
            </w:r>
            <w:bookmarkEnd w:id="2"/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询问，主要设备为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电脑及办公设备</w:t>
            </w:r>
            <w:r>
              <w:rPr>
                <w:rFonts w:hint="eastAsia" w:ascii="宋体" w:hAnsi="宋体"/>
                <w:szCs w:val="21"/>
              </w:rPr>
              <w:t>等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关键过程：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研发、</w:t>
            </w:r>
            <w:r>
              <w:rPr>
                <w:rFonts w:hint="eastAsia" w:ascii="宋体" w:hAnsi="宋体"/>
                <w:szCs w:val="21"/>
              </w:rPr>
              <w:t>销售为关键过程。</w:t>
            </w:r>
          </w:p>
          <w:p>
            <w:pPr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查体系运行时间：20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Cs w:val="21"/>
              </w:rPr>
              <w:t>日。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组织实际与管理体系文件化信息描述基本一致。有管理层、</w:t>
            </w:r>
            <w:r>
              <w:rPr>
                <w:rFonts w:hint="eastAsia" w:ascii="宋体" w:hAnsi="宋体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eastAsia="zh-CN"/>
              </w:rPr>
              <w:t>市场部、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技术部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产品流程见《作业流程》</w:t>
            </w:r>
          </w:p>
          <w:p>
            <w:pPr>
              <w:spacing w:line="440" w:lineRule="exact"/>
              <w:rPr>
                <w:rFonts w:ascii="宋体" w:hAnsi="宋体"/>
                <w:kern w:val="44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查，</w:t>
            </w:r>
            <w:r>
              <w:rPr>
                <w:rFonts w:hint="eastAsia" w:ascii="宋体" w:hAnsi="宋体"/>
                <w:szCs w:val="21"/>
              </w:rPr>
              <w:t>管理体系文件名称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kern w:val="44"/>
                <w:szCs w:val="21"/>
              </w:rPr>
              <w:t>质量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hint="eastAsia" w:ascii="宋体" w:hAnsi="宋体"/>
                <w:kern w:val="44"/>
                <w:szCs w:val="21"/>
              </w:rPr>
              <w:t>，程序文件</w:t>
            </w:r>
            <w:r>
              <w:rPr>
                <w:rFonts w:hint="eastAsia" w:ascii="宋体" w:hAnsi="宋体"/>
                <w:kern w:val="44"/>
                <w:szCs w:val="21"/>
                <w:lang w:val="en-US" w:eastAsia="zh-CN"/>
              </w:rPr>
              <w:t>38</w:t>
            </w:r>
            <w:r>
              <w:rPr>
                <w:rFonts w:hint="eastAsia" w:ascii="宋体" w:hAnsi="宋体"/>
                <w:kern w:val="44"/>
                <w:szCs w:val="21"/>
              </w:rPr>
              <w:t>个。</w:t>
            </w:r>
          </w:p>
        </w:tc>
        <w:tc>
          <w:tcPr>
            <w:tcW w:w="1004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4.1;4.2;4.3;4.4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7" w:type="dxa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25" w:type="dxa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质量、环境、职业健康安全方针：</w:t>
            </w:r>
          </w:p>
          <w:p>
            <w:pPr>
              <w:spacing w:line="276" w:lineRule="auto"/>
              <w:ind w:firstLine="420" w:firstLineChars="200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  <w:t>以稳定品质、完善服务、持续改进、满足顾客需求；</w:t>
            </w:r>
          </w:p>
          <w:p>
            <w:pPr>
              <w:spacing w:line="276" w:lineRule="auto"/>
              <w:ind w:firstLine="420" w:firstLineChars="200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  <w:t xml:space="preserve">以安全生产、保护环境、守法诚信、体现社会责任。 </w:t>
            </w:r>
          </w:p>
          <w:p>
            <w:pPr>
              <w:pStyle w:val="13"/>
              <w:rPr>
                <w:rFonts w:hint="eastAsia"/>
                <w:lang w:eastAsia="zh-CN"/>
              </w:rPr>
            </w:pPr>
          </w:p>
          <w:p>
            <w:pPr>
              <w:spacing w:line="360" w:lineRule="auto"/>
              <w:ind w:firstLine="420" w:firstLineChars="200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质量、环境、职业健康安全目标 </w:t>
            </w:r>
          </w:p>
          <w:p>
            <w:pPr>
              <w:ind w:firstLine="525" w:firstLineChars="250"/>
              <w:rPr>
                <w:rFonts w:hint="eastAsia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客户</w:t>
            </w:r>
            <w:r>
              <w:rPr>
                <w:rFonts w:hint="eastAsia"/>
                <w:color w:val="000000"/>
                <w:szCs w:val="21"/>
              </w:rPr>
              <w:t>反馈处理率100%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；</w:t>
            </w:r>
          </w:p>
          <w:p>
            <w:pPr>
              <w:ind w:firstLine="525" w:firstLineChars="250"/>
              <w:rPr>
                <w:rFonts w:hint="eastAsia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客户</w:t>
            </w:r>
            <w:r>
              <w:rPr>
                <w:rFonts w:hint="eastAsia"/>
                <w:color w:val="000000"/>
                <w:szCs w:val="21"/>
              </w:rPr>
              <w:t>满意</w:t>
            </w:r>
            <w:r>
              <w:rPr>
                <w:rFonts w:hint="eastAsia"/>
                <w:color w:val="000000"/>
                <w:szCs w:val="21"/>
                <w:lang w:eastAsia="zh-CN"/>
              </w:rPr>
              <w:t>度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90分以上；</w:t>
            </w:r>
          </w:p>
          <w:p>
            <w:pPr>
              <w:ind w:firstLine="525" w:firstLineChars="250"/>
              <w:rPr>
                <w:rFonts w:hint="eastAsia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3、</w:t>
            </w:r>
            <w:r>
              <w:rPr>
                <w:rFonts w:hint="eastAsia"/>
                <w:color w:val="000000"/>
                <w:szCs w:val="21"/>
              </w:rPr>
              <w:t>固体废弃物（含危废）有效处置率≥95%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；</w:t>
            </w:r>
          </w:p>
          <w:p>
            <w:pPr>
              <w:ind w:firstLine="525" w:firstLineChars="250"/>
              <w:rPr>
                <w:rFonts w:hint="eastAsia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4、</w:t>
            </w:r>
            <w:r>
              <w:rPr>
                <w:rFonts w:hint="eastAsia"/>
                <w:color w:val="000000"/>
                <w:szCs w:val="21"/>
              </w:rPr>
              <w:t>无火灾事故发生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；</w:t>
            </w:r>
          </w:p>
          <w:p>
            <w:pPr>
              <w:ind w:firstLine="525" w:firstLineChars="250"/>
              <w:rPr>
                <w:rFonts w:hint="eastAsia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5、</w:t>
            </w:r>
            <w:r>
              <w:rPr>
                <w:rFonts w:hint="eastAsia"/>
                <w:color w:val="000000"/>
                <w:szCs w:val="21"/>
              </w:rPr>
              <w:t>重大安全事故为0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；</w:t>
            </w:r>
          </w:p>
          <w:p>
            <w:pPr>
              <w:ind w:firstLine="525" w:firstLineChars="250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6、</w:t>
            </w:r>
            <w:r>
              <w:rPr>
                <w:rFonts w:hint="eastAsia"/>
                <w:color w:val="000000"/>
                <w:szCs w:val="21"/>
              </w:rPr>
              <w:t>火灾爆炸事故为0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拟定有管理方案和预案。</w:t>
            </w:r>
          </w:p>
        </w:tc>
        <w:tc>
          <w:tcPr>
            <w:tcW w:w="1004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5.1;6.2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7" w:type="dxa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</w:tbl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br w:type="page"/>
      </w: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510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636"/>
        <w:gridCol w:w="982"/>
        <w:gridCol w:w="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1414" w:type="dxa"/>
            <w:gridSpan w:val="3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杨珍全、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余家龙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636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982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796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36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建立有《内部审核控制程序》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内审时间</w:t>
            </w:r>
            <w:r>
              <w:rPr>
                <w:rFonts w:hint="eastAsia" w:ascii="宋体" w:hAnsi="宋体"/>
                <w:szCs w:val="21"/>
                <w:highlight w:val="none"/>
              </w:rPr>
              <w:t>：20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  <w:highlight w:val="none"/>
              </w:rPr>
              <w:t>年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  <w:highlight w:val="none"/>
              </w:rPr>
              <w:t>月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11日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内审组：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张圣鹏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（组长）、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张智恒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（组员）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见有：《内审不符合项报告》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份，涉及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市场部Q8.4.1</w:t>
            </w:r>
            <w:r>
              <w:rPr>
                <w:rFonts w:hint="eastAsia" w:ascii="宋体" w:hAnsi="宋体"/>
                <w:szCs w:val="21"/>
              </w:rPr>
              <w:t>条款审核中发现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市场部没有对广州优飞科技信息有限公司进行供方评审</w:t>
            </w:r>
            <w:r>
              <w:rPr>
                <w:rFonts w:hint="eastAsia" w:ascii="宋体" w:hAnsi="宋体"/>
                <w:szCs w:val="21"/>
              </w:rPr>
              <w:t>。，针对该不符合项，已及时采取纠正措施后，经内审员验证关闭。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有《内部审核报告》，有审核结论。</w:t>
            </w:r>
          </w:p>
        </w:tc>
        <w:tc>
          <w:tcPr>
            <w:tcW w:w="982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9.2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36" w:type="dxa"/>
            <w:vAlign w:val="top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查见《管理评审计划》、《管理评审会议记录》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管理评审于20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szCs w:val="21"/>
              </w:rPr>
              <w:t>日由总经</w:t>
            </w:r>
            <w:r>
              <w:rPr>
                <w:rFonts w:hint="eastAsia" w:ascii="宋体" w:hAnsi="宋体"/>
                <w:sz w:val="21"/>
                <w:szCs w:val="21"/>
              </w:rPr>
              <w:t>理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李林栖</w:t>
            </w:r>
            <w:r>
              <w:rPr>
                <w:rFonts w:hint="eastAsia" w:ascii="宋体" w:hAnsi="宋体"/>
                <w:sz w:val="21"/>
                <w:szCs w:val="21"/>
              </w:rPr>
              <w:t>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提供主要输入材料有：各部门总结，输入信息基本充分和满足要求。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spacing w:line="460" w:lineRule="exact"/>
              <w:ind w:firstLine="420" w:firstLineChars="20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提出以下改进内容：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我公司三标准运行时间较短，有关人员对标准的理解不够深刻，</w:t>
            </w:r>
          </w:p>
          <w:p>
            <w:pPr>
              <w:spacing w:line="46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应1、进一步贯彻管理体系的各项规定，努力将各项工作深入和细致；</w:t>
            </w:r>
          </w:p>
          <w:p>
            <w:pPr>
              <w:spacing w:line="460" w:lineRule="exact"/>
              <w:ind w:firstLine="210" w:firstLineChars="10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2、加强对实施有效性的审核，对不理解和不按文件规定实施的环节进行培训和考核；</w:t>
            </w:r>
          </w:p>
          <w:p>
            <w:pPr>
              <w:spacing w:line="460" w:lineRule="exact"/>
              <w:ind w:firstLine="210" w:firstLineChars="100"/>
              <w:rPr>
                <w:rFonts w:ascii="宋体" w:hAnsi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3、通过对体系的进一步实施，努力提高全体员工的质量、环境、职业健康安全意识和工作的责任心。</w:t>
            </w:r>
          </w:p>
        </w:tc>
        <w:tc>
          <w:tcPr>
            <w:tcW w:w="982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9.3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</w:tcPr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相关法规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环评报告及环评验收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安评报告及安评验收</w:t>
            </w: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执行的产品标准（QMS）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执行的排污标准（EMS）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执行的安全法规（OHSMS）</w:t>
            </w: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 xml:space="preserve">合规性评价报告 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环境相关监测报告（EMS）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职业健康相关监测报告（OHSMS）</w:t>
            </w:r>
          </w:p>
          <w:p>
            <w:pPr>
              <w:spacing w:line="400" w:lineRule="exact"/>
              <w:rPr>
                <w:rFonts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</w:rPr>
              <w:t>产品质量监督抽查情况（QMS）</w:t>
            </w:r>
          </w:p>
        </w:tc>
        <w:tc>
          <w:tcPr>
            <w:tcW w:w="9636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中华人民共和国合同法、中华人民共和国劳动法、中华人民共和国安全消防法、中华人民共和国劳动合同法、</w:t>
            </w:r>
            <w:r>
              <w:rPr>
                <w:rFonts w:ascii="宋体" w:hAnsi="宋体"/>
                <w:szCs w:val="21"/>
                <w:highlight w:val="none"/>
              </w:rPr>
              <w:t>中华人民共和国产品质量法</w:t>
            </w:r>
            <w:r>
              <w:rPr>
                <w:rFonts w:hint="eastAsia" w:ascii="宋体" w:hAnsi="宋体"/>
                <w:szCs w:val="21"/>
                <w:highlight w:val="none"/>
              </w:rPr>
              <w:t>、中华人民共和国安全生产法等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不适用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不适用</w:t>
            </w:r>
          </w:p>
          <w:p>
            <w:pPr>
              <w:pStyle w:val="2"/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计算机软件开发范围  GB8566-88、计算机软件测试文件编制规范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GB9386-88、软件产品评价质量特性及其使用指南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GB/T 16260-96、计算机软件产品开发文件编制指南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、CH/Z 3004―2010 《低空数字航空摄影测量外业规范》、CH 1016—2008 《测绘作业人员安全规范》、GB/T 18314―2009 《全球定位系统（GPS）测量规范》、CH/Z 3002-2010无人机航摄系统技术要求、CH/Z 3001-2010 无人机航摄安全作业基本要求、T/CEC 193-2018 电力行业无人机巡检作业人员培训考核规范等、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GB/T24738-2009、《民用无人机驾驶员管理规定》、《民用无人驾驶航空器实名制登记管理规定》、《民用无人驾驶航空器系统驾驶员管理暂行规定》、《民用无人驾驶航空器系统空中交通管理办法》、《民用无人机驾驶航空器经营性飞行活动管理办法》、合同协议等。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污水排入城镇下水道水质标准（</w:t>
            </w:r>
            <w:r>
              <w:rPr>
                <w:rFonts w:ascii="宋体" w:hAnsi="宋体"/>
                <w:szCs w:val="21"/>
                <w:highlight w:val="none"/>
              </w:rPr>
              <w:t>GB/T 31962-2015</w:t>
            </w:r>
            <w:r>
              <w:rPr>
                <w:rFonts w:hint="eastAsia" w:ascii="宋体" w:hAnsi="宋体"/>
                <w:szCs w:val="21"/>
                <w:highlight w:val="none"/>
              </w:rPr>
              <w:t>）</w:t>
            </w:r>
          </w:p>
          <w:p>
            <w:pPr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中华人民共和国安全消防法、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中华人民共和国劳动合同法、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中华人民共和国安全生产法等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20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/>
                <w:szCs w:val="21"/>
                <w:highlight w:val="none"/>
              </w:rPr>
              <w:t>年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szCs w:val="21"/>
                <w:highlight w:val="none"/>
              </w:rPr>
              <w:t>月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szCs w:val="21"/>
                <w:highlight w:val="none"/>
              </w:rPr>
              <w:t>日进行了合规性评价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无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无</w:t>
            </w:r>
          </w:p>
          <w:p>
            <w:pPr>
              <w:spacing w:line="400" w:lineRule="exact"/>
              <w:rPr>
                <w:rFonts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</w:rPr>
              <w:t>无质量监督抽查。</w:t>
            </w:r>
          </w:p>
        </w:tc>
        <w:tc>
          <w:tcPr>
            <w:tcW w:w="982" w:type="dxa"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Q/E/S:6.1.3、9.1.2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6" w:type="dxa"/>
            <w:vAlign w:val="top"/>
          </w:tcPr>
          <w:p>
            <w:pPr>
              <w:spacing w:line="400" w:lineRule="exact"/>
            </w:pPr>
            <w:r>
              <w:rPr>
                <w:rFonts w:hint="eastAsia"/>
              </w:rPr>
              <w:t>符合</w:t>
            </w: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rPr>
                <w:lang w:val="en-US" w:eastAsia="zh-CN"/>
              </w:rPr>
            </w:pPr>
          </w:p>
          <w:p>
            <w:pPr>
              <w:pStyle w:val="2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工艺流程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不适用条款的确认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外包的识别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重要环境因素（EMS）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不可接受风险（OHSMS）</w:t>
            </w: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应急管理</w:t>
            </w:r>
          </w:p>
        </w:tc>
        <w:tc>
          <w:tcPr>
            <w:tcW w:w="9636" w:type="dxa"/>
            <w:vAlign w:val="top"/>
          </w:tcPr>
          <w:p>
            <w:pPr>
              <w:rPr>
                <w:rFonts w:hint="eastAsia" w:ascii="宋体" w:hAnsi="宋体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Times New Roman"/>
                <w:szCs w:val="21"/>
                <w:highlight w:val="none"/>
                <w:lang w:eastAsia="zh-CN"/>
              </w:rPr>
              <w:t>销售流程：</w:t>
            </w:r>
          </w:p>
          <w:p>
            <w:pPr>
              <w:rPr>
                <w:rFonts w:hint="eastAsia" w:ascii="宋体" w:hAnsi="宋体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Times New Roman"/>
                <w:szCs w:val="21"/>
                <w:highlight w:val="none"/>
                <w:lang w:eastAsia="zh-CN"/>
              </w:rPr>
              <w:t>确定顾客群体---商务洽谈---签订合同---</w:t>
            </w:r>
            <w:r>
              <w:rPr>
                <w:rFonts w:hint="eastAsia" w:ascii="宋体" w:hAnsi="宋体" w:cs="Times New Roman"/>
                <w:szCs w:val="21"/>
                <w:highlight w:val="none"/>
                <w:lang w:val="en-US" w:eastAsia="zh-CN"/>
              </w:rPr>
              <w:t>研发</w:t>
            </w:r>
            <w:r>
              <w:rPr>
                <w:rFonts w:hint="eastAsia" w:ascii="宋体" w:hAnsi="宋体" w:cs="Times New Roman"/>
                <w:szCs w:val="21"/>
                <w:highlight w:val="none"/>
                <w:lang w:eastAsia="zh-CN"/>
              </w:rPr>
              <w:t>产品---产品交付---售后服务</w:t>
            </w:r>
          </w:p>
          <w:p>
            <w:pPr>
              <w:rPr>
                <w:rFonts w:hint="eastAsia" w:ascii="宋体" w:hAnsi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highlight w:val="none"/>
                <w:lang w:val="en-US" w:eastAsia="zh-CN"/>
              </w:rPr>
              <w:t>技术服务流程：</w:t>
            </w:r>
          </w:p>
          <w:p>
            <w:pPr>
              <w:rPr>
                <w:rFonts w:hint="eastAsia" w:ascii="宋体" w:hAnsi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highlight w:val="none"/>
                <w:lang w:val="en-US" w:eastAsia="zh-CN"/>
              </w:rPr>
              <w:t>客户提出服务请求----服务界定并安排技术服务人员----技术人员提供服务----服务总结----顾客满意度调查</w:t>
            </w:r>
          </w:p>
          <w:p>
            <w:pPr>
              <w:rPr>
                <w:rFonts w:hint="eastAsia" w:ascii="宋体" w:hAnsi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highlight w:val="none"/>
                <w:lang w:val="en-US" w:eastAsia="zh-CN"/>
              </w:rPr>
              <w:t>研发流程：</w:t>
            </w:r>
          </w:p>
          <w:p>
            <w:pPr>
              <w:rPr>
                <w:rFonts w:hint="eastAsia" w:ascii="宋体" w:hAnsi="宋体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Times New Roman"/>
                <w:szCs w:val="21"/>
                <w:highlight w:val="none"/>
                <w:lang w:val="en-US" w:eastAsia="zh-CN"/>
              </w:rPr>
              <w:t>需求分析----产品设计----产品开发----产品测试 ----总结反馈</w:t>
            </w:r>
          </w:p>
          <w:p>
            <w:pPr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需确认过程：销售过程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研发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过程。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无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无人机</w:t>
            </w:r>
            <w:bookmarkStart w:id="3" w:name="_GoBack"/>
            <w:bookmarkEnd w:id="3"/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组装过程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潜在火灾、固废排放。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火灾、触电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人身</w:t>
            </w:r>
            <w:r>
              <w:rPr>
                <w:rFonts w:hint="eastAsia" w:ascii="宋体" w:hAnsi="宋体"/>
                <w:szCs w:val="21"/>
                <w:lang w:eastAsia="zh-CN"/>
              </w:rPr>
              <w:t>伤害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/中暑</w:t>
            </w:r>
            <w:r>
              <w:rPr>
                <w:rFonts w:hint="eastAsia" w:ascii="宋体" w:hAnsi="宋体"/>
                <w:color w:val="FF0000"/>
                <w:szCs w:val="21"/>
              </w:rPr>
              <w:t>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公司拟定有《火灾应急预案》，</w:t>
            </w:r>
            <w:r>
              <w:rPr>
                <w:rFonts w:hint="eastAsia" w:ascii="宋体" w:hAnsi="宋体"/>
                <w:szCs w:val="21"/>
                <w:highlight w:val="none"/>
              </w:rPr>
              <w:t>20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  <w:highlight w:val="none"/>
              </w:rPr>
              <w:t>年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</w:rPr>
              <w:t>月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/>
                <w:szCs w:val="21"/>
                <w:highlight w:val="none"/>
              </w:rPr>
              <w:t>日进行了消防演习演习。</w:t>
            </w:r>
          </w:p>
        </w:tc>
        <w:tc>
          <w:tcPr>
            <w:tcW w:w="982" w:type="dxa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Q/E/S:8.1、8.2;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E/S;6.1.2;</w:t>
            </w:r>
          </w:p>
          <w:p>
            <w:pPr>
              <w:adjustRightInd w:val="0"/>
              <w:snapToGrid w:val="0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796" w:type="dxa"/>
            <w:vAlign w:val="top"/>
          </w:tcPr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设计开发产品或项目名称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主要原材料</w:t>
            </w:r>
          </w:p>
        </w:tc>
        <w:tc>
          <w:tcPr>
            <w:tcW w:w="9636" w:type="dxa"/>
          </w:tcPr>
          <w:p>
            <w:pPr>
              <w:spacing w:line="400" w:lineRule="exact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YX-V6六旋翼无人机</w:t>
            </w:r>
          </w:p>
          <w:p>
            <w:pPr>
              <w:spacing w:line="400" w:lineRule="exact"/>
            </w:pPr>
            <w:r>
              <w:rPr>
                <w:rFonts w:hint="eastAsia"/>
                <w:lang w:val="en-US" w:eastAsia="zh-CN"/>
              </w:rPr>
              <w:t>无人机配件（飞行器、遥控器、智能飞行电池、 极速充电器等）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辅料</w:t>
            </w:r>
            <w:r>
              <w:rPr>
                <w:rFonts w:hint="eastAsia"/>
                <w:lang w:val="en-US" w:eastAsia="zh-CN"/>
              </w:rPr>
              <w:t>及办公用品</w:t>
            </w:r>
            <w:r>
              <w:rPr>
                <w:rFonts w:hint="eastAsia"/>
              </w:rPr>
              <w:t>等。</w:t>
            </w: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796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特殊工种人员</w:t>
            </w:r>
          </w:p>
        </w:tc>
        <w:tc>
          <w:tcPr>
            <w:tcW w:w="9636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研发</w:t>
            </w:r>
            <w:r>
              <w:rPr>
                <w:rFonts w:hint="eastAsia" w:ascii="宋体" w:hAnsi="宋体"/>
                <w:szCs w:val="21"/>
              </w:rPr>
              <w:t>人员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技术服务人员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无</w:t>
            </w: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Q/E/S:7.2</w:t>
            </w:r>
          </w:p>
        </w:tc>
        <w:tc>
          <w:tcPr>
            <w:tcW w:w="796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>主要生产设备</w:t>
            </w:r>
          </w:p>
          <w:p>
            <w:pPr>
              <w:pStyle w:val="13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pStyle w:val="13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pStyle w:val="13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库房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特种设备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环保设施（EMS）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安全设施（OHSMS）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主要检测设备及设备的检定/校准（QMS）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环保监测设备（EMS）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安全监测设备（OHSMS）</w:t>
            </w:r>
          </w:p>
        </w:tc>
        <w:tc>
          <w:tcPr>
            <w:tcW w:w="9636" w:type="dxa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台钻，电磨机等组装设备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电脑及办公设备</w:t>
            </w:r>
            <w:r>
              <w:rPr>
                <w:rFonts w:hint="eastAsia" w:ascii="宋体" w:hAnsi="宋体"/>
                <w:szCs w:val="21"/>
              </w:rPr>
              <w:t>等。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szCs w:val="21"/>
                <w:highlight w:val="green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无库房，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公司的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无人机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组装为外包，故公司目前暂无成品储存室及零部件储存室，对未及时交付的成品和采购的零部件由市场部进行保管并登记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无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消防栓、灭火器</w:t>
            </w:r>
          </w:p>
          <w:p>
            <w:pPr>
              <w:spacing w:line="400" w:lineRule="exact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配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配电箱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、灭火器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有风速仪、水平仪、万用表、电子秤、钢直尺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。</w:t>
            </w:r>
            <w:r>
              <w:rPr>
                <w:rFonts w:hint="eastAsia"/>
                <w:szCs w:val="21"/>
                <w:highlight w:val="none"/>
              </w:rPr>
              <w:t>采取委外校准或检定，不能提供有效校准或检定证书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。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Q/E/S:7.1</w:t>
            </w: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Q7.1.3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Q7.1.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6" w:type="dxa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不</w:t>
            </w:r>
            <w:r>
              <w:rPr>
                <w:rFonts w:hint="eastAsia" w:ascii="宋体" w:hAnsi="宋体"/>
                <w:szCs w:val="21"/>
              </w:rPr>
              <w:t>符合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Q7.1.5）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周边环境（EMS）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场区布局（一级风险）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排污口及排污管网（一级风险）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关注动力装置场所、危险化学品仓库、固废堆放场所</w:t>
            </w:r>
          </w:p>
        </w:tc>
        <w:tc>
          <w:tcPr>
            <w:tcW w:w="9636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82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顾客及相关方投诉</w:t>
            </w:r>
          </w:p>
        </w:tc>
        <w:tc>
          <w:tcPr>
            <w:tcW w:w="9636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暂无</w:t>
            </w: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Q/E/S:10.2</w:t>
            </w:r>
          </w:p>
        </w:tc>
        <w:tc>
          <w:tcPr>
            <w:tcW w:w="796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第二阶段重要审核点等相关内容</w:t>
            </w:r>
          </w:p>
        </w:tc>
        <w:tc>
          <w:tcPr>
            <w:tcW w:w="9636" w:type="dxa"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通过一阶段对受审核方的管理、办公现场巡视和观察，对管理体系绩效要求有重大影响的过程、活动、场所和现场运行进行观察、巡视及总体性评价，组织具备二阶段审核条件，可进行二阶段审核。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二阶段质量管理体系宜重点关注（合同评审、采购控制、技术服务、研发过程等）</w:t>
            </w:r>
          </w:p>
          <w:p>
            <w:pPr>
              <w:adjustRightInd w:val="0"/>
              <w:snapToGrid w:val="0"/>
              <w:rPr>
                <w:rFonts w:hint="default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重点审核部门：市场部、行政部、技术部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重点审核过程：研发过程、技术服务过程、产品销售和服务提供控制、顾客满意；产品和服务放行、不合格产品控制等。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重点审核场所：办公场所、服务场所。</w:t>
            </w:r>
          </w:p>
        </w:tc>
        <w:tc>
          <w:tcPr>
            <w:tcW w:w="982" w:type="dxa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6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r>
        <w:rPr>
          <w:rFonts w:hint="eastAsia"/>
        </w:rPr>
        <w:t>说明：不符合标注N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9A55EC"/>
    <w:rsid w:val="1EEE6B9C"/>
    <w:rsid w:val="1F8224CE"/>
    <w:rsid w:val="309544B2"/>
    <w:rsid w:val="31B30C82"/>
    <w:rsid w:val="482A47F1"/>
    <w:rsid w:val="640E06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adjustRightInd w:val="0"/>
      <w:spacing w:before="260" w:after="260" w:line="416" w:lineRule="atLeast"/>
      <w:textAlignment w:val="baseline"/>
      <w:outlineLvl w:val="2"/>
    </w:pPr>
    <w:rPr>
      <w:b/>
      <w:bCs/>
      <w:kern w:val="0"/>
      <w:sz w:val="28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3</TotalTime>
  <ScaleCrop>false</ScaleCrop>
  <LinksUpToDate>false</LinksUpToDate>
  <CharactersWithSpaces>100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Dell</cp:lastModifiedBy>
  <dcterms:modified xsi:type="dcterms:W3CDTF">2020-08-30T02:27:02Z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