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ajorEastAsia" w:hAnsiTheme="majorEastAsia" w:eastAsiaTheme="majorEastAsia" w:cstheme="majorEastAsia"/>
          <w:bCs/>
          <w:sz w:val="32"/>
          <w:szCs w:val="32"/>
        </w:rPr>
      </w:pPr>
      <w:r>
        <w:rPr>
          <w:rFonts w:hint="eastAsia" w:asciiTheme="majorEastAsia" w:hAnsiTheme="majorEastAsia" w:eastAsiaTheme="majorEastAsia" w:cstheme="majorEastAsia"/>
          <w:bCs/>
          <w:sz w:val="32"/>
          <w:szCs w:val="32"/>
        </w:rPr>
        <w:t>一阶段现场审核计划</w:t>
      </w:r>
    </w:p>
    <w:tbl>
      <w:tblPr>
        <w:tblStyle w:val="5"/>
        <w:tblW w:w="1022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1"/>
        <w:gridCol w:w="194"/>
        <w:gridCol w:w="90"/>
        <w:gridCol w:w="690"/>
        <w:gridCol w:w="720"/>
        <w:gridCol w:w="149"/>
        <w:gridCol w:w="1134"/>
        <w:gridCol w:w="329"/>
        <w:gridCol w:w="1230"/>
        <w:gridCol w:w="567"/>
        <w:gridCol w:w="1134"/>
        <w:gridCol w:w="284"/>
        <w:gridCol w:w="425"/>
        <w:gridCol w:w="425"/>
        <w:gridCol w:w="425"/>
        <w:gridCol w:w="122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</w:tc>
        <w:tc>
          <w:tcPr>
            <w:tcW w:w="8741" w:type="dxa"/>
            <w:gridSpan w:val="13"/>
            <w:vAlign w:val="center"/>
          </w:tcPr>
          <w:p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成都宇翔科技有限公司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合同编号.</w:t>
            </w:r>
          </w:p>
        </w:tc>
        <w:tc>
          <w:tcPr>
            <w:tcW w:w="3022" w:type="dxa"/>
            <w:gridSpan w:val="5"/>
            <w:vAlign w:val="center"/>
          </w:tcPr>
          <w:p>
            <w:pPr>
              <w:rPr>
                <w:sz w:val="21"/>
                <w:szCs w:val="21"/>
              </w:rPr>
            </w:pPr>
            <w:bookmarkStart w:id="1" w:name="合同编号"/>
            <w:r>
              <w:rPr>
                <w:sz w:val="21"/>
                <w:szCs w:val="21"/>
              </w:rPr>
              <w:t>0436-2020-QEO</w:t>
            </w:r>
            <w:bookmarkEnd w:id="1"/>
          </w:p>
        </w:tc>
        <w:tc>
          <w:tcPr>
            <w:tcW w:w="1230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审核领域</w:t>
            </w:r>
          </w:p>
        </w:tc>
        <w:tc>
          <w:tcPr>
            <w:tcW w:w="4489" w:type="dxa"/>
            <w:gridSpan w:val="7"/>
            <w:vAlign w:val="center"/>
          </w:tcPr>
          <w:p>
            <w:pPr>
              <w:rPr>
                <w:sz w:val="21"/>
                <w:szCs w:val="21"/>
              </w:rPr>
            </w:pPr>
            <w:bookmarkStart w:id="2" w:name="Q勾选"/>
            <w:r>
              <w:rPr>
                <w:rFonts w:hint="eastAsia"/>
                <w:sz w:val="21"/>
                <w:szCs w:val="21"/>
              </w:rPr>
              <w:t>■</w:t>
            </w:r>
            <w:bookmarkEnd w:id="2"/>
            <w:r>
              <w:rPr>
                <w:spacing w:val="-2"/>
                <w:sz w:val="21"/>
                <w:szCs w:val="21"/>
              </w:rPr>
              <w:t>QMS</w:t>
            </w:r>
            <w:bookmarkStart w:id="3" w:name="E勾选"/>
            <w:r>
              <w:rPr>
                <w:rFonts w:hint="eastAsia"/>
                <w:sz w:val="21"/>
                <w:szCs w:val="21"/>
              </w:rPr>
              <w:t>■</w:t>
            </w:r>
            <w:bookmarkEnd w:id="3"/>
            <w:r>
              <w:rPr>
                <w:spacing w:val="-2"/>
                <w:sz w:val="21"/>
                <w:szCs w:val="21"/>
              </w:rPr>
              <w:t>EMS</w:t>
            </w:r>
            <w:bookmarkStart w:id="4" w:name="S勾选"/>
            <w:r>
              <w:rPr>
                <w:rFonts w:hint="eastAsia"/>
                <w:sz w:val="21"/>
                <w:szCs w:val="21"/>
              </w:rPr>
              <w:t>■</w:t>
            </w:r>
            <w:bookmarkEnd w:id="4"/>
            <w:r>
              <w:rPr>
                <w:spacing w:val="-2"/>
                <w:sz w:val="21"/>
                <w:szCs w:val="21"/>
              </w:rPr>
              <w:t>OHSMS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3022" w:type="dxa"/>
            <w:gridSpan w:val="5"/>
            <w:vAlign w:val="center"/>
          </w:tcPr>
          <w:p>
            <w:pPr>
              <w:rPr>
                <w:sz w:val="21"/>
                <w:szCs w:val="21"/>
              </w:rPr>
            </w:pPr>
            <w:bookmarkStart w:id="5" w:name="联系人"/>
            <w:r>
              <w:rPr>
                <w:sz w:val="21"/>
                <w:szCs w:val="21"/>
              </w:rPr>
              <w:t>万亮骑</w:t>
            </w:r>
            <w:bookmarkEnd w:id="5"/>
          </w:p>
        </w:tc>
        <w:tc>
          <w:tcPr>
            <w:tcW w:w="1230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701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bookmarkStart w:id="6" w:name="联系人电话"/>
            <w:r>
              <w:rPr>
                <w:sz w:val="21"/>
                <w:szCs w:val="21"/>
              </w:rPr>
              <w:t>0832-2177113</w:t>
            </w:r>
            <w:bookmarkEnd w:id="6"/>
          </w:p>
        </w:tc>
        <w:tc>
          <w:tcPr>
            <w:tcW w:w="709" w:type="dxa"/>
            <w:gridSpan w:val="2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2079" w:type="dxa"/>
            <w:gridSpan w:val="3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bookmarkStart w:id="7" w:name="联系人邮箱"/>
            <w:bookmarkEnd w:id="7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485" w:type="dxa"/>
            <w:gridSpan w:val="3"/>
            <w:vAlign w:val="center"/>
          </w:tcPr>
          <w:p>
            <w:r>
              <w:rPr>
                <w:rFonts w:hint="eastAsia"/>
              </w:rPr>
              <w:t>最高管理者</w:t>
            </w:r>
          </w:p>
        </w:tc>
        <w:tc>
          <w:tcPr>
            <w:tcW w:w="3022" w:type="dxa"/>
            <w:gridSpan w:val="5"/>
            <w:vAlign w:val="center"/>
          </w:tcPr>
          <w:p>
            <w:pPr>
              <w:rPr>
                <w:rFonts w:hint="default" w:eastAsia="宋体"/>
                <w:lang w:val="en-US" w:eastAsia="zh-CN"/>
              </w:rPr>
            </w:pPr>
            <w:bookmarkStart w:id="8" w:name="最高管理者"/>
            <w:bookmarkEnd w:id="8"/>
            <w:r>
              <w:rPr>
                <w:rFonts w:hint="eastAsia"/>
                <w:lang w:val="en-US" w:eastAsia="zh-CN"/>
              </w:rPr>
              <w:t>李栖林</w:t>
            </w:r>
            <w:bookmarkStart w:id="14" w:name="_GoBack"/>
            <w:bookmarkEnd w:id="14"/>
          </w:p>
        </w:tc>
        <w:tc>
          <w:tcPr>
            <w:tcW w:w="1230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701" w:type="dxa"/>
            <w:gridSpan w:val="2"/>
            <w:vAlign w:val="center"/>
          </w:tcPr>
          <w:p>
            <w:bookmarkStart w:id="9" w:name="联系人传真"/>
            <w:bookmarkEnd w:id="9"/>
          </w:p>
        </w:tc>
        <w:tc>
          <w:tcPr>
            <w:tcW w:w="709" w:type="dxa"/>
            <w:gridSpan w:val="2"/>
            <w:vMerge w:val="continue"/>
            <w:vAlign w:val="center"/>
          </w:tcPr>
          <w:p/>
        </w:tc>
        <w:tc>
          <w:tcPr>
            <w:tcW w:w="2079" w:type="dxa"/>
            <w:gridSpan w:val="3"/>
            <w:vMerge w:val="continue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  <w:jc w:val="center"/>
        </w:trPr>
        <w:tc>
          <w:tcPr>
            <w:tcW w:w="1485" w:type="dxa"/>
            <w:gridSpan w:val="3"/>
            <w:vAlign w:val="center"/>
          </w:tcPr>
          <w:p>
            <w:r>
              <w:rPr>
                <w:rFonts w:hint="eastAsia"/>
              </w:rPr>
              <w:t>审核目的</w:t>
            </w:r>
          </w:p>
        </w:tc>
        <w:tc>
          <w:tcPr>
            <w:tcW w:w="8741" w:type="dxa"/>
            <w:gridSpan w:val="13"/>
            <w:vAlign w:val="center"/>
          </w:tcPr>
          <w:p>
            <w:pPr>
              <w:textAlignment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1、了解组织的基本情况（现场分布、产品和生产工艺）。</w:t>
            </w:r>
          </w:p>
          <w:p>
            <w:pPr>
              <w:ind w:left="316" w:hanging="316" w:hangingChars="150"/>
              <w:textAlignment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2、了解组织建立的管理体系对认证审核的准备程度，确认是否具备第二阶段审核的条件，确定第二阶段审核的重点及资源配置。</w:t>
            </w:r>
          </w:p>
          <w:p>
            <w:r>
              <w:rPr>
                <w:rFonts w:hint="eastAsia" w:ascii="宋体" w:hAnsi="宋体"/>
                <w:b/>
                <w:sz w:val="21"/>
                <w:szCs w:val="21"/>
              </w:rPr>
              <w:t>3、确认审核范围和认证范围。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atLeast"/>
          <w:jc w:val="center"/>
        </w:trPr>
        <w:tc>
          <w:tcPr>
            <w:tcW w:w="1485" w:type="dxa"/>
            <w:gridSpan w:val="3"/>
            <w:vAlign w:val="center"/>
          </w:tcPr>
          <w:p>
            <w:r>
              <w:rPr>
                <w:rFonts w:hint="eastAsia"/>
              </w:rPr>
              <w:t>审核范围</w:t>
            </w:r>
          </w:p>
        </w:tc>
        <w:tc>
          <w:tcPr>
            <w:tcW w:w="6237" w:type="dxa"/>
            <w:gridSpan w:val="9"/>
            <w:vAlign w:val="center"/>
          </w:tcPr>
          <w:p>
            <w:bookmarkStart w:id="10" w:name="审核范围"/>
            <w:r>
              <w:t>Q：无人机研发、销售及技术服务</w:t>
            </w:r>
          </w:p>
          <w:p>
            <w:r>
              <w:t>E：无人机研发、销售及技术服务所涉及的相关环境管理活动</w:t>
            </w:r>
          </w:p>
          <w:p>
            <w:r>
              <w:t>O：无人机研发、销售及技术服务所涉及的相关职业健康安全管理活动</w:t>
            </w:r>
            <w:bookmarkEnd w:id="10"/>
          </w:p>
        </w:tc>
        <w:tc>
          <w:tcPr>
            <w:tcW w:w="850" w:type="dxa"/>
            <w:gridSpan w:val="2"/>
            <w:vAlign w:val="center"/>
          </w:tcPr>
          <w:p>
            <w:r>
              <w:rPr>
                <w:rFonts w:hint="eastAsia"/>
              </w:rPr>
              <w:t>专业</w:t>
            </w:r>
          </w:p>
          <w:p>
            <w:r>
              <w:rPr>
                <w:rFonts w:hint="eastAsia"/>
              </w:rPr>
              <w:t>代码</w:t>
            </w:r>
          </w:p>
        </w:tc>
        <w:tc>
          <w:tcPr>
            <w:tcW w:w="1654" w:type="dxa"/>
            <w:gridSpan w:val="2"/>
            <w:vAlign w:val="center"/>
          </w:tcPr>
          <w:p>
            <w:pPr>
              <w:rPr>
                <w:sz w:val="24"/>
                <w:szCs w:val="24"/>
              </w:rPr>
            </w:pPr>
            <w:bookmarkStart w:id="11" w:name="专业代码"/>
            <w:r>
              <w:rPr>
                <w:sz w:val="24"/>
                <w:szCs w:val="24"/>
              </w:rPr>
              <w:t>Q：29.10.07;34.05.00;34.06.00</w:t>
            </w:r>
          </w:p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E：29.10.07;34.05.00;34.06.00</w:t>
            </w:r>
          </w:p>
          <w:p>
            <w:r>
              <w:rPr>
                <w:sz w:val="24"/>
                <w:szCs w:val="24"/>
              </w:rPr>
              <w:t>O：29.10.07;34.05.00;34.06.00</w:t>
            </w:r>
            <w:bookmarkEnd w:id="1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atLeast"/>
          <w:jc w:val="center"/>
        </w:trPr>
        <w:tc>
          <w:tcPr>
            <w:tcW w:w="1485" w:type="dxa"/>
            <w:gridSpan w:val="3"/>
            <w:vAlign w:val="center"/>
          </w:tcPr>
          <w:p>
            <w:r>
              <w:rPr>
                <w:rFonts w:hint="eastAsia"/>
              </w:rPr>
              <w:t>审核准则</w:t>
            </w:r>
          </w:p>
        </w:tc>
        <w:tc>
          <w:tcPr>
            <w:tcW w:w="8741" w:type="dxa"/>
            <w:gridSpan w:val="13"/>
            <w:vAlign w:val="center"/>
          </w:tcPr>
          <w:p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12" w:name="审核依据"/>
            <w:r>
              <w:rPr>
                <w:rFonts w:hint="eastAsia" w:ascii="宋体" w:hAnsi="宋体"/>
                <w:b/>
                <w:sz w:val="21"/>
                <w:szCs w:val="21"/>
              </w:rPr>
              <w:t>Q：GB/T19001-2016/ISO9001:2015,E：GB/T 24001-2016/ISO14001:2015,O：GB/T45001-2020 / ISO45001：2018</w:t>
            </w:r>
            <w:bookmarkEnd w:id="1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  <w:jc w:val="center"/>
        </w:trPr>
        <w:tc>
          <w:tcPr>
            <w:tcW w:w="1485" w:type="dxa"/>
            <w:gridSpan w:val="3"/>
            <w:vAlign w:val="center"/>
          </w:tcPr>
          <w:p>
            <w:r>
              <w:rPr>
                <w:rFonts w:hint="eastAsia"/>
              </w:rPr>
              <w:t>审核日期</w:t>
            </w:r>
          </w:p>
        </w:tc>
        <w:tc>
          <w:tcPr>
            <w:tcW w:w="8741" w:type="dxa"/>
            <w:gridSpan w:val="13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="-108" w:leftChars="-45" w:firstLine="211" w:firstLineChars="100"/>
              <w:rPr>
                <w:b/>
                <w:sz w:val="21"/>
                <w:szCs w:val="21"/>
                <w:lang w:val="de-DE"/>
              </w:rPr>
            </w:pPr>
            <w:r>
              <w:rPr>
                <w:rFonts w:hint="eastAsia"/>
                <w:b/>
                <w:sz w:val="21"/>
                <w:szCs w:val="21"/>
              </w:rPr>
              <w:t>现场审核于</w:t>
            </w:r>
            <w:bookmarkStart w:id="13" w:name="审核日期安排"/>
            <w:r>
              <w:rPr>
                <w:rFonts w:hint="eastAsia"/>
                <w:b/>
                <w:sz w:val="21"/>
                <w:szCs w:val="21"/>
              </w:rPr>
              <w:t>2020年08月18日 上午至2020年08月18日 下午 (共1.0天)</w:t>
            </w:r>
            <w:bookmarkEnd w:id="13"/>
            <w:r>
              <w:rPr>
                <w:rFonts w:hint="eastAsia"/>
                <w:b/>
                <w:sz w:val="21"/>
                <w:szCs w:val="21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  <w:jc w:val="center"/>
        </w:trPr>
        <w:tc>
          <w:tcPr>
            <w:tcW w:w="1485" w:type="dxa"/>
            <w:gridSpan w:val="3"/>
            <w:vAlign w:val="center"/>
          </w:tcPr>
          <w:p>
            <w:r>
              <w:rPr>
                <w:rFonts w:hint="eastAsia"/>
              </w:rPr>
              <w:t>审核语言</w:t>
            </w:r>
          </w:p>
        </w:tc>
        <w:tc>
          <w:tcPr>
            <w:tcW w:w="8741" w:type="dxa"/>
            <w:gridSpan w:val="13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de-DE" w:eastAsia="zh-CN"/>
              </w:rPr>
              <w:t>■</w:t>
            </w:r>
            <w:r>
              <w:rPr>
                <w:rFonts w:hint="eastAsia"/>
                <w:b/>
                <w:sz w:val="21"/>
                <w:szCs w:val="21"/>
              </w:rPr>
              <w:t>普通话</w:t>
            </w:r>
            <w:r>
              <w:rPr>
                <w:rFonts w:hint="eastAsia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b/>
                <w:sz w:val="21"/>
                <w:szCs w:val="21"/>
              </w:rPr>
              <w:t>英语</w:t>
            </w:r>
            <w:r>
              <w:rPr>
                <w:rFonts w:hint="eastAsia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b/>
                <w:sz w:val="21"/>
                <w:szCs w:val="21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10226" w:type="dxa"/>
            <w:gridSpan w:val="16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审核员信息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780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组内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身份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1612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注册资格</w:t>
            </w:r>
          </w:p>
        </w:tc>
        <w:tc>
          <w:tcPr>
            <w:tcW w:w="2931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59" w:type="dxa"/>
            <w:gridSpan w:val="4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229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组内代号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0"/>
              </w:rPr>
              <w:t>杨珍全（</w:t>
            </w:r>
            <w:r>
              <w:rPr>
                <w:rFonts w:hint="eastAsia"/>
                <w:sz w:val="20"/>
              </w:rPr>
              <w:t>见证人）</w:t>
            </w:r>
          </w:p>
        </w:tc>
        <w:tc>
          <w:tcPr>
            <w:tcW w:w="780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组长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男</w:t>
            </w:r>
          </w:p>
        </w:tc>
        <w:tc>
          <w:tcPr>
            <w:tcW w:w="1612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Q:审核员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E:审核员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O:审核员</w:t>
            </w:r>
          </w:p>
        </w:tc>
        <w:tc>
          <w:tcPr>
            <w:tcW w:w="2931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Q:29.10.07,34.05.00,34.06.00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E:29.10.07,34.05.00,34.06.00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O:29.10.07,34.05.00,34.06.00</w:t>
            </w:r>
          </w:p>
        </w:tc>
        <w:tc>
          <w:tcPr>
            <w:tcW w:w="1559" w:type="dxa"/>
            <w:gridSpan w:val="4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13883847833</w:t>
            </w:r>
          </w:p>
        </w:tc>
        <w:tc>
          <w:tcPr>
            <w:tcW w:w="1229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ISC-230067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0"/>
              </w:rPr>
              <w:t>余家龙（</w:t>
            </w:r>
            <w:r>
              <w:rPr>
                <w:rFonts w:hint="eastAsia"/>
                <w:sz w:val="20"/>
              </w:rPr>
              <w:t>被见证）</w:t>
            </w:r>
          </w:p>
        </w:tc>
        <w:tc>
          <w:tcPr>
            <w:tcW w:w="780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组员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男</w:t>
            </w:r>
          </w:p>
        </w:tc>
        <w:tc>
          <w:tcPr>
            <w:tcW w:w="1612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Q:实习审核员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E:审核员</w:t>
            </w:r>
          </w:p>
        </w:tc>
        <w:tc>
          <w:tcPr>
            <w:tcW w:w="2931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Q:34.05.00,34.06.00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E:34.05.00,34.06.00</w:t>
            </w:r>
          </w:p>
        </w:tc>
        <w:tc>
          <w:tcPr>
            <w:tcW w:w="1559" w:type="dxa"/>
            <w:gridSpan w:val="4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15181072354 17709081193</w:t>
            </w:r>
          </w:p>
        </w:tc>
        <w:tc>
          <w:tcPr>
            <w:tcW w:w="1229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ISC-262293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陈伟</w:t>
            </w:r>
          </w:p>
        </w:tc>
        <w:tc>
          <w:tcPr>
            <w:tcW w:w="780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组员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男</w:t>
            </w:r>
          </w:p>
        </w:tc>
        <w:tc>
          <w:tcPr>
            <w:tcW w:w="1612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Q:实习审核员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E:实习审核员</w:t>
            </w:r>
          </w:p>
        </w:tc>
        <w:tc>
          <w:tcPr>
            <w:tcW w:w="2931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559" w:type="dxa"/>
            <w:gridSpan w:val="4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18244225770</w:t>
            </w:r>
          </w:p>
        </w:tc>
        <w:tc>
          <w:tcPr>
            <w:tcW w:w="1229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ISC-265256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  <w:jc w:val="center"/>
        </w:trPr>
        <w:tc>
          <w:tcPr>
            <w:tcW w:w="10226" w:type="dxa"/>
            <w:gridSpan w:val="16"/>
            <w:vAlign w:val="center"/>
          </w:tcPr>
          <w:p>
            <w:r>
              <w:rPr>
                <w:rFonts w:hint="eastAsia" w:ascii="宋体" w:hAnsi="宋体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在审核过程中接触的有关受审核方特定产品或机密信息，未经受审核方书面同意不得透露给第三方。当法律要求需要信息提供给第三方时，中心书面通知受审核方所要提供的信息。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201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审核组长</w:t>
            </w:r>
          </w:p>
        </w:tc>
        <w:tc>
          <w:tcPr>
            <w:tcW w:w="1843" w:type="dxa"/>
            <w:gridSpan w:val="5"/>
            <w:vAlign w:val="center"/>
          </w:tcPr>
          <w:p>
            <w:pPr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杨珍全</w:t>
            </w:r>
          </w:p>
        </w:tc>
        <w:tc>
          <w:tcPr>
            <w:tcW w:w="1134" w:type="dxa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审核方案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管理人员</w:t>
            </w:r>
          </w:p>
        </w:tc>
        <w:tc>
          <w:tcPr>
            <w:tcW w:w="2126" w:type="dxa"/>
            <w:gridSpan w:val="3"/>
            <w:vMerge w:val="restart"/>
            <w:vAlign w:val="center"/>
          </w:tcPr>
          <w:p>
            <w:pPr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李永忠</w:t>
            </w:r>
          </w:p>
        </w:tc>
        <w:tc>
          <w:tcPr>
            <w:tcW w:w="1418" w:type="dxa"/>
            <w:gridSpan w:val="2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签字及公章</w:t>
            </w:r>
          </w:p>
        </w:tc>
        <w:tc>
          <w:tcPr>
            <w:tcW w:w="2504" w:type="dxa"/>
            <w:gridSpan w:val="4"/>
            <w:vMerge w:val="restart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" w:hRule="atLeast"/>
          <w:jc w:val="center"/>
        </w:trPr>
        <w:tc>
          <w:tcPr>
            <w:tcW w:w="1201" w:type="dxa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843" w:type="dxa"/>
            <w:gridSpan w:val="5"/>
            <w:vAlign w:val="center"/>
          </w:tcPr>
          <w:p>
            <w:pPr>
              <w:spacing w:line="360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13883847833</w:t>
            </w:r>
          </w:p>
        </w:tc>
        <w:tc>
          <w:tcPr>
            <w:tcW w:w="1134" w:type="dxa"/>
            <w:vMerge w:val="continue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2126" w:type="dxa"/>
            <w:gridSpan w:val="3"/>
            <w:vMerge w:val="continue"/>
            <w:vAlign w:val="center"/>
          </w:tcPr>
          <w:p>
            <w:pPr>
              <w:spacing w:line="360" w:lineRule="auto"/>
              <w:jc w:val="center"/>
              <w:rPr>
                <w:sz w:val="21"/>
                <w:szCs w:val="21"/>
              </w:rPr>
            </w:pPr>
          </w:p>
        </w:tc>
        <w:tc>
          <w:tcPr>
            <w:tcW w:w="1418" w:type="dxa"/>
            <w:gridSpan w:val="2"/>
            <w:vMerge w:val="continue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2504" w:type="dxa"/>
            <w:gridSpan w:val="4"/>
            <w:vMerge w:val="continue"/>
            <w:vAlign w:val="center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8" w:hRule="atLeast"/>
          <w:jc w:val="center"/>
        </w:trPr>
        <w:tc>
          <w:tcPr>
            <w:tcW w:w="1201" w:type="dxa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1843" w:type="dxa"/>
            <w:gridSpan w:val="5"/>
            <w:vAlign w:val="center"/>
          </w:tcPr>
          <w:p>
            <w:pPr>
              <w:spacing w:line="360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2020.8.17</w:t>
            </w: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2126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2020.8.17</w:t>
            </w:r>
          </w:p>
        </w:tc>
        <w:tc>
          <w:tcPr>
            <w:tcW w:w="1418" w:type="dxa"/>
            <w:gridSpan w:val="2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2504" w:type="dxa"/>
            <w:gridSpan w:val="4"/>
            <w:vAlign w:val="center"/>
          </w:tcPr>
          <w:p>
            <w:pPr>
              <w:spacing w:line="360" w:lineRule="auto"/>
            </w:pPr>
          </w:p>
        </w:tc>
      </w:tr>
    </w:tbl>
    <w:p>
      <w:pPr>
        <w:rPr>
          <w:rFonts w:hint="eastAsia" w:asciiTheme="minorEastAsia" w:hAnsiTheme="minorEastAsia" w:eastAsiaTheme="minorEastAsia"/>
          <w:sz w:val="32"/>
          <w:szCs w:val="32"/>
        </w:rPr>
      </w:pPr>
    </w:p>
    <w:p>
      <w:pPr>
        <w:rPr>
          <w:rFonts w:hint="eastAsia" w:asciiTheme="minorEastAsia" w:hAnsiTheme="minorEastAsia" w:eastAsiaTheme="minorEastAsia"/>
          <w:sz w:val="32"/>
          <w:szCs w:val="32"/>
        </w:rPr>
      </w:pPr>
    </w:p>
    <w:p>
      <w:pPr>
        <w:rPr>
          <w:rFonts w:hint="eastAsia" w:asciiTheme="minorEastAsia" w:hAnsiTheme="minorEastAsia" w:eastAsiaTheme="minorEastAsia"/>
          <w:sz w:val="32"/>
          <w:szCs w:val="32"/>
        </w:rPr>
      </w:pPr>
    </w:p>
    <w:p>
      <w:pPr>
        <w:rPr>
          <w:rFonts w:hint="eastAsia" w:asciiTheme="minorEastAsia" w:hAnsiTheme="minorEastAsia" w:eastAsiaTheme="minorEastAsia"/>
          <w:sz w:val="32"/>
          <w:szCs w:val="32"/>
        </w:rPr>
      </w:pPr>
    </w:p>
    <w:p>
      <w:pPr>
        <w:rPr>
          <w:rFonts w:hint="eastAsia" w:asciiTheme="minorEastAsia" w:hAnsiTheme="minorEastAsia" w:eastAsiaTheme="minorEastAsia"/>
          <w:sz w:val="32"/>
          <w:szCs w:val="32"/>
        </w:rPr>
      </w:pPr>
    </w:p>
    <w:p>
      <w:pPr>
        <w:rPr>
          <w:rFonts w:hint="eastAsia" w:asciiTheme="minorEastAsia" w:hAnsiTheme="minorEastAsia" w:eastAsiaTheme="minorEastAsia"/>
          <w:sz w:val="32"/>
          <w:szCs w:val="32"/>
        </w:rPr>
      </w:pPr>
    </w:p>
    <w:p>
      <w:pPr>
        <w:rPr>
          <w:rFonts w:hint="eastAsia" w:asciiTheme="minorEastAsia" w:hAnsiTheme="minorEastAsia" w:eastAsiaTheme="minorEastAsia"/>
          <w:sz w:val="32"/>
          <w:szCs w:val="32"/>
        </w:rPr>
      </w:pPr>
    </w:p>
    <w:p>
      <w:pPr>
        <w:rPr>
          <w:rFonts w:hint="eastAsia" w:asciiTheme="minorEastAsia" w:hAnsiTheme="minorEastAsia" w:eastAsiaTheme="minorEastAsia"/>
          <w:sz w:val="32"/>
          <w:szCs w:val="32"/>
        </w:rPr>
      </w:pPr>
    </w:p>
    <w:p>
      <w:pPr>
        <w:rPr>
          <w:rFonts w:hint="eastAsia" w:asciiTheme="minorEastAsia" w:hAnsiTheme="minorEastAsia" w:eastAsiaTheme="minorEastAsia"/>
          <w:sz w:val="32"/>
          <w:szCs w:val="32"/>
        </w:rPr>
      </w:pPr>
    </w:p>
    <w:p>
      <w:pPr>
        <w:rPr>
          <w:rFonts w:hint="eastAsia" w:asciiTheme="minorEastAsia" w:hAnsiTheme="minorEastAsia" w:eastAsiaTheme="minorEastAsia"/>
          <w:sz w:val="32"/>
          <w:szCs w:val="32"/>
        </w:rPr>
      </w:pPr>
    </w:p>
    <w:p>
      <w:pPr>
        <w:rPr>
          <w:rFonts w:hint="eastAsia" w:asciiTheme="minorEastAsia" w:hAnsiTheme="minorEastAsia" w:eastAsiaTheme="minorEastAsia"/>
          <w:sz w:val="32"/>
          <w:szCs w:val="32"/>
        </w:rPr>
      </w:pPr>
    </w:p>
    <w:p>
      <w:pPr>
        <w:rPr>
          <w:rFonts w:hint="eastAsia" w:asciiTheme="minorEastAsia" w:hAnsiTheme="minorEastAsia" w:eastAsiaTheme="minorEastAsia"/>
          <w:sz w:val="32"/>
          <w:szCs w:val="32"/>
        </w:rPr>
      </w:pPr>
    </w:p>
    <w:p>
      <w:pPr>
        <w:rPr>
          <w:rFonts w:hint="eastAsia" w:asciiTheme="minorEastAsia" w:hAnsiTheme="minorEastAsia" w:eastAsiaTheme="minorEastAsia"/>
          <w:sz w:val="32"/>
          <w:szCs w:val="32"/>
        </w:rPr>
      </w:pPr>
    </w:p>
    <w:p>
      <w:pPr>
        <w:rPr>
          <w:rFonts w:hint="eastAsia" w:asciiTheme="minorEastAsia" w:hAnsiTheme="minorEastAsia" w:eastAsiaTheme="minorEastAsia"/>
          <w:sz w:val="32"/>
          <w:szCs w:val="32"/>
        </w:rPr>
      </w:pPr>
    </w:p>
    <w:p>
      <w:pPr>
        <w:rPr>
          <w:rFonts w:hint="eastAsia" w:asciiTheme="minorEastAsia" w:hAnsiTheme="minorEastAsia" w:eastAsiaTheme="minorEastAsia"/>
          <w:sz w:val="32"/>
          <w:szCs w:val="32"/>
        </w:rPr>
      </w:pPr>
    </w:p>
    <w:p>
      <w:pPr>
        <w:rPr>
          <w:rFonts w:hint="eastAsia" w:asciiTheme="minorEastAsia" w:hAnsiTheme="minorEastAsia" w:eastAsiaTheme="minorEastAsia"/>
          <w:sz w:val="32"/>
          <w:szCs w:val="32"/>
        </w:rPr>
      </w:pPr>
    </w:p>
    <w:p>
      <w:pPr>
        <w:rPr>
          <w:rFonts w:hint="eastAsia" w:asciiTheme="minorEastAsia" w:hAnsiTheme="minorEastAsia" w:eastAsiaTheme="minorEastAsia"/>
          <w:sz w:val="32"/>
          <w:szCs w:val="32"/>
        </w:rPr>
      </w:pPr>
    </w:p>
    <w:p>
      <w:pPr>
        <w:rPr>
          <w:rFonts w:hint="eastAsia" w:asciiTheme="minorEastAsia" w:hAnsiTheme="minorEastAsia" w:eastAsiaTheme="minorEastAsia"/>
          <w:sz w:val="32"/>
          <w:szCs w:val="32"/>
        </w:rPr>
      </w:pPr>
    </w:p>
    <w:p>
      <w:pPr>
        <w:rPr>
          <w:rFonts w:hint="eastAsia" w:eastAsia="隶书"/>
          <w:sz w:val="30"/>
          <w:szCs w:val="30"/>
          <w:lang w:val="en-US" w:eastAsia="zh-CN"/>
        </w:rPr>
      </w:pPr>
      <w:r>
        <w:rPr>
          <w:rFonts w:hint="eastAsia" w:eastAsia="隶书"/>
          <w:sz w:val="30"/>
          <w:szCs w:val="30"/>
          <w:lang w:val="en-US" w:eastAsia="zh-CN"/>
        </w:rPr>
        <w:t>附表</w:t>
      </w:r>
    </w:p>
    <w:tbl>
      <w:tblPr>
        <w:tblStyle w:val="5"/>
        <w:tblpPr w:leftFromText="180" w:rightFromText="180" w:vertAnchor="text" w:horzAnchor="page" w:tblpX="1114" w:tblpY="3"/>
        <w:tblOverlap w:val="never"/>
        <w:tblW w:w="1037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1"/>
        <w:gridCol w:w="1505"/>
        <w:gridCol w:w="6665"/>
        <w:gridCol w:w="11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1" w:hRule="atLeast"/>
        </w:trPr>
        <w:tc>
          <w:tcPr>
            <w:tcW w:w="10377" w:type="dxa"/>
            <w:gridSpan w:val="4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审核日程安排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</w:trPr>
        <w:tc>
          <w:tcPr>
            <w:tcW w:w="1011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日期</w:t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时间</w:t>
            </w:r>
          </w:p>
        </w:tc>
        <w:tc>
          <w:tcPr>
            <w:tcW w:w="6665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受审核部门、场所及审核内容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审核人员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5" w:hRule="atLeast"/>
        </w:trPr>
        <w:tc>
          <w:tcPr>
            <w:tcW w:w="1011" w:type="dxa"/>
            <w:vMerge w:val="restart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宋体" w:hAnsi="宋体" w:cs="宋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sz w:val="21"/>
                <w:szCs w:val="21"/>
                <w:lang w:val="en-US" w:eastAsia="zh-CN"/>
              </w:rPr>
              <w:t>8</w:t>
            </w:r>
          </w:p>
          <w:p>
            <w:pPr>
              <w:snapToGrid w:val="0"/>
              <w:spacing w:line="280" w:lineRule="exact"/>
              <w:jc w:val="center"/>
              <w:rPr>
                <w:rFonts w:ascii="宋体" w:hAnsi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cs="宋体"/>
                <w:b/>
                <w:sz w:val="21"/>
                <w:szCs w:val="21"/>
              </w:rPr>
              <w:t>月</w:t>
            </w:r>
          </w:p>
          <w:p>
            <w:pPr>
              <w:snapToGrid w:val="0"/>
              <w:spacing w:line="280" w:lineRule="exact"/>
              <w:jc w:val="center"/>
              <w:rPr>
                <w:rFonts w:hint="default" w:ascii="宋体" w:hAnsi="宋体" w:eastAsia="宋体" w:cs="宋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sz w:val="21"/>
                <w:szCs w:val="21"/>
                <w:lang w:val="en-US" w:eastAsia="zh-CN"/>
              </w:rPr>
              <w:t>18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1"/>
                <w:szCs w:val="21"/>
              </w:rPr>
            </w:pPr>
            <w:r>
              <w:rPr>
                <w:rFonts w:hint="eastAsia" w:ascii="宋体" w:hAnsi="宋体" w:cs="宋体"/>
                <w:b/>
                <w:sz w:val="21"/>
                <w:szCs w:val="21"/>
              </w:rPr>
              <w:t>日</w:t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8：00-8:30</w:t>
            </w:r>
          </w:p>
        </w:tc>
        <w:tc>
          <w:tcPr>
            <w:tcW w:w="6665" w:type="dxa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首次会议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/>
                <w:sz w:val="21"/>
                <w:szCs w:val="21"/>
              </w:rPr>
              <w:t>杨珍全、</w:t>
            </w:r>
            <w:r>
              <w:rPr>
                <w:rFonts w:hint="eastAsia"/>
                <w:b/>
                <w:sz w:val="21"/>
                <w:szCs w:val="21"/>
                <w:lang w:eastAsia="zh-CN"/>
              </w:rPr>
              <w:t>余家龙、</w:t>
            </w: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陈伟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714" w:hRule="atLeast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1"/>
                <w:szCs w:val="21"/>
              </w:rPr>
            </w:pPr>
          </w:p>
        </w:tc>
        <w:tc>
          <w:tcPr>
            <w:tcW w:w="1505" w:type="dxa"/>
          </w:tcPr>
          <w:p>
            <w:pPr>
              <w:snapToGrid w:val="0"/>
              <w:spacing w:line="280" w:lineRule="exact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8：30-1</w:t>
            </w: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6</w:t>
            </w:r>
            <w:r>
              <w:rPr>
                <w:rFonts w:hint="eastAsia"/>
                <w:b/>
                <w:sz w:val="21"/>
                <w:szCs w:val="21"/>
              </w:rPr>
              <w:t>：30</w:t>
            </w:r>
          </w:p>
          <w:p>
            <w:pPr>
              <w:snapToGrid w:val="0"/>
              <w:spacing w:line="280" w:lineRule="exact"/>
              <w:rPr>
                <w:rFonts w:hint="default" w:eastAsia="宋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/>
                <w:sz w:val="21"/>
                <w:szCs w:val="21"/>
                <w:lang w:eastAsia="zh-CN"/>
              </w:rPr>
              <w:t>（午休</w:t>
            </w: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12:00-13:00）</w:t>
            </w:r>
          </w:p>
        </w:tc>
        <w:tc>
          <w:tcPr>
            <w:tcW w:w="6665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1.通过对受审核方的管理、生产现场巡视和观察，从总体上初步判断受审核方的实际情况（包括实际的产品或服务类别、部门设置、资源状况等）与成文信息的一致性，为第二阶段审核的准备情况。 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2. 对管理体系绩效要求有重大影响的过程、活动、场所和现场运行进行观察、巡视及总体性评价，初步确认与成文件息的一致性。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3.评价所建立的管理体系文件与审核准则和认证要求的符合性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适宜性；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4.了解、收集、确认和核实受审核方相关信息以及相关法律法规的执行情况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（重点是法律位证明文件、经营许可资质/资格、强制性标准执行情况）；</w:t>
            </w:r>
          </w:p>
          <w:p>
            <w:pPr>
              <w:numPr>
                <w:ilvl w:val="0"/>
                <w:numId w:val="1"/>
              </w:numPr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了解、确认体系覆盖的活动内容和范围，删减的合理性，体系覆盖范围内有效人数、过程和场所，及其与成文信息的一致性；</w:t>
            </w:r>
          </w:p>
          <w:p>
            <w:pPr>
              <w:numPr>
                <w:ilvl w:val="0"/>
                <w:numId w:val="0"/>
              </w:numPr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6.确认方针、目标的制定与实施状况；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7.确认内审和管理评审策划情况及实施情况，确认体系运是否已运行并超过3个月，确认管理体系实施程度，能否证明已为第二阶段审核做好了准备，并确定第二阶段审核的时间和路线；8.了解为第二阶段审核所需资源的配置情况；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9.确定管理层二阶段审核的重点。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10.确认体系策划部门是否按要求建立、实施、保持并持续改进了体系。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11.了解确认受审核方的过程（包括关键过程、特殊过程）识别及控制状况。确认受审核方针对这些过程策划建立了哪些文件、记录。确认相关的部门设置、职能划分、生产或服务过程的识别控制的合理性，及其与成文信息的一致性。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12.适用法律法规、技术标准识别的充分性，收集合规性的证据。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13.核实、确认受审核方各相关部门提供的相关信息（重点是资质、资格、产品范围、人数、规模、场所等）。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14.</w:t>
            </w:r>
            <w:r>
              <w:rPr>
                <w:sz w:val="21"/>
                <w:szCs w:val="21"/>
              </w:rPr>
              <w:t>对生产设备、环保设备、特种设备及监视测量设备的现场巡视了解</w:t>
            </w:r>
            <w:r>
              <w:rPr>
                <w:rFonts w:hint="eastAsia"/>
                <w:sz w:val="21"/>
                <w:szCs w:val="21"/>
              </w:rPr>
              <w:t>和确认。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15.了解</w:t>
            </w:r>
            <w:r>
              <w:rPr>
                <w:sz w:val="21"/>
                <w:szCs w:val="21"/>
              </w:rPr>
              <w:t>环境因素和危险源的识别、评价等控制情况</w:t>
            </w:r>
            <w:r>
              <w:rPr>
                <w:rFonts w:hint="eastAsia"/>
                <w:sz w:val="21"/>
                <w:szCs w:val="21"/>
              </w:rPr>
              <w:t>。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16.</w:t>
            </w:r>
            <w:r>
              <w:rPr>
                <w:sz w:val="21"/>
                <w:szCs w:val="21"/>
              </w:rPr>
              <w:t>了解对合规性及应急预案等情况的</w:t>
            </w:r>
            <w:r>
              <w:rPr>
                <w:rFonts w:hint="eastAsia"/>
                <w:sz w:val="21"/>
                <w:szCs w:val="21"/>
              </w:rPr>
              <w:t>执行</w:t>
            </w:r>
            <w:r>
              <w:rPr>
                <w:sz w:val="21"/>
                <w:szCs w:val="21"/>
              </w:rPr>
              <w:t>。</w:t>
            </w:r>
          </w:p>
          <w:p>
            <w:pPr>
              <w:snapToGrid w:val="0"/>
              <w:spacing w:line="280" w:lineRule="exac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17.结合目标确定体系推动部门第二阶段重要审核点。</w:t>
            </w:r>
          </w:p>
        </w:tc>
        <w:tc>
          <w:tcPr>
            <w:tcW w:w="1196" w:type="dxa"/>
            <w:tcBorders>
              <w:right w:val="single" w:color="auto" w:sz="8" w:space="0"/>
            </w:tcBorders>
          </w:tcPr>
          <w:p>
            <w:pPr>
              <w:snapToGrid w:val="0"/>
              <w:spacing w:line="280" w:lineRule="exact"/>
              <w:rPr>
                <w:rFonts w:hint="eastAsia" w:eastAsia="宋体"/>
                <w:b/>
                <w:sz w:val="21"/>
                <w:szCs w:val="21"/>
                <w:lang w:eastAsia="zh-CN"/>
              </w:rPr>
            </w:pPr>
            <w:r>
              <w:rPr>
                <w:rFonts w:hint="eastAsia"/>
                <w:b/>
                <w:sz w:val="21"/>
                <w:szCs w:val="21"/>
              </w:rPr>
              <w:t>杨珍全、</w:t>
            </w:r>
            <w:r>
              <w:rPr>
                <w:rFonts w:hint="eastAsia"/>
                <w:b/>
                <w:sz w:val="21"/>
                <w:szCs w:val="21"/>
                <w:lang w:eastAsia="zh-CN"/>
              </w:rPr>
              <w:t>余家龙、</w:t>
            </w: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陈伟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24" w:hRule="atLeast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1"/>
                <w:szCs w:val="21"/>
              </w:rPr>
            </w:pP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1</w:t>
            </w: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6</w:t>
            </w:r>
            <w:r>
              <w:rPr>
                <w:rFonts w:hint="eastAsia"/>
                <w:b/>
                <w:sz w:val="21"/>
                <w:szCs w:val="21"/>
              </w:rPr>
              <w:t>：30-1</w:t>
            </w: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7</w:t>
            </w:r>
            <w:r>
              <w:rPr>
                <w:rFonts w:hint="eastAsia"/>
                <w:b/>
                <w:sz w:val="21"/>
                <w:szCs w:val="21"/>
              </w:rPr>
              <w:t>：00</w:t>
            </w:r>
          </w:p>
        </w:tc>
        <w:tc>
          <w:tcPr>
            <w:tcW w:w="6665" w:type="dxa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末次会议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杨珍全、</w:t>
            </w:r>
            <w:r>
              <w:rPr>
                <w:rFonts w:hint="eastAsia"/>
                <w:b/>
                <w:sz w:val="21"/>
                <w:szCs w:val="21"/>
                <w:lang w:eastAsia="zh-CN"/>
              </w:rPr>
              <w:t>余家龙、</w:t>
            </w: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陈伟</w:t>
            </w:r>
          </w:p>
        </w:tc>
      </w:tr>
    </w:tbl>
    <w:p>
      <w:pPr>
        <w:spacing w:line="300" w:lineRule="exact"/>
        <w:ind w:firstLine="4156" w:firstLineChars="2300"/>
        <w:rPr>
          <w:b/>
          <w:color w:val="000000"/>
          <w:sz w:val="18"/>
          <w:szCs w:val="18"/>
        </w:rPr>
      </w:pPr>
    </w:p>
    <w:p>
      <w:pPr>
        <w:tabs>
          <w:tab w:val="left" w:pos="432"/>
        </w:tabs>
        <w:spacing w:line="360" w:lineRule="auto"/>
        <w:ind w:left="432"/>
        <w:textAlignment w:val="center"/>
        <w:rPr>
          <w:b/>
          <w:sz w:val="21"/>
          <w:szCs w:val="21"/>
        </w:rPr>
      </w:pPr>
      <w:r>
        <w:rPr>
          <w:rFonts w:hint="eastAsia"/>
          <w:b/>
          <w:color w:val="000000"/>
          <w:sz w:val="21"/>
          <w:szCs w:val="21"/>
        </w:rPr>
        <w:t>注:</w:t>
      </w:r>
      <w:r>
        <w:rPr>
          <w:rFonts w:hint="eastAsia"/>
          <w:sz w:val="21"/>
          <w:szCs w:val="21"/>
        </w:rPr>
        <w:t>1、</w:t>
      </w:r>
      <w:r>
        <w:rPr>
          <w:rFonts w:hint="eastAsia"/>
          <w:b/>
          <w:sz w:val="21"/>
          <w:szCs w:val="21"/>
        </w:rPr>
        <w:t>一阶段要在现场核实以下内容并填写“申请评审信息（初审/再认证）现场确认表”：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1）营业执照或相关证件副本原件；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2）生产（安全）许可证、行业许可证、3C证书原件；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3）计量器具的检定证书原件、特种设备备案登记号及鉴定证书原件；产品标准的版本、企标的备案号（适用时）；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4）型式试验报告；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5）地理位置图、污水管网图； 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6）生产工艺流程示意图（建设单位还需提供在建项目清单）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7）环境影响评价报告及批复、“三同时”验收报告；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8）安全、卫生评价报告及批复、“三同时”验收报告；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9）消防验收报告；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10）由法定资格的环境监测部门对各项污染物的监测数据；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11）由法定资格的劳动、卫生监测部门对组织特种设备、生产车间内有害物质的监测数据；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12）排污许可证、排污申报登记注册注明、总量控制指标；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13）主要资源、能源使用、消耗清单、危险化学品清单。</w:t>
      </w:r>
    </w:p>
    <w:p>
      <w:pPr>
        <w:snapToGrid w:val="0"/>
        <w:spacing w:line="360" w:lineRule="auto"/>
        <w:ind w:left="843" w:hanging="843" w:hangingChars="400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2、请在选中的“□”内打“×”。</w:t>
      </w:r>
    </w:p>
    <w:p>
      <w:pPr>
        <w:spacing w:line="360" w:lineRule="auto"/>
        <w:ind w:firstLine="422" w:firstLineChars="200"/>
        <w:jc w:val="left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3、如工作语言、审核报告语言不是中文，应在审核计划中说明语言种类；</w:t>
      </w:r>
    </w:p>
    <w:p>
      <w:pPr>
        <w:spacing w:line="360" w:lineRule="auto"/>
        <w:ind w:firstLine="422" w:firstLineChars="200"/>
        <w:jc w:val="left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4、主要审核内容</w:t>
      </w:r>
    </w:p>
    <w:p>
      <w:pPr>
        <w:pStyle w:val="7"/>
        <w:numPr>
          <w:ilvl w:val="0"/>
          <w:numId w:val="2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方针的制定与贯彻情况 </w:t>
      </w:r>
    </w:p>
    <w:p>
      <w:pPr>
        <w:pStyle w:val="7"/>
        <w:numPr>
          <w:ilvl w:val="0"/>
          <w:numId w:val="2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环境因素的识别和评价程序合理性 </w:t>
      </w:r>
    </w:p>
    <w:p>
      <w:pPr>
        <w:pStyle w:val="7"/>
        <w:numPr>
          <w:ilvl w:val="0"/>
          <w:numId w:val="2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危险源的辨识和评价程序合理性 </w:t>
      </w:r>
    </w:p>
    <w:p>
      <w:pPr>
        <w:pStyle w:val="7"/>
        <w:numPr>
          <w:ilvl w:val="0"/>
          <w:numId w:val="2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体系覆盖产品及产品生产关键过程、特殊过程的识别和确认情况 </w:t>
      </w:r>
    </w:p>
    <w:p>
      <w:pPr>
        <w:pStyle w:val="7"/>
        <w:numPr>
          <w:ilvl w:val="0"/>
          <w:numId w:val="2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质量管理体系删减条款的合理性 </w:t>
      </w:r>
    </w:p>
    <w:p>
      <w:pPr>
        <w:pStyle w:val="7"/>
        <w:numPr>
          <w:ilvl w:val="0"/>
          <w:numId w:val="2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适用的法律和其他要求的获取、识别程序实施情况 </w:t>
      </w:r>
    </w:p>
    <w:p>
      <w:pPr>
        <w:pStyle w:val="7"/>
        <w:numPr>
          <w:ilvl w:val="0"/>
          <w:numId w:val="2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组织的目标、指标和管理方案合理性及实施情况 </w:t>
      </w:r>
    </w:p>
    <w:p>
      <w:pPr>
        <w:pStyle w:val="7"/>
        <w:numPr>
          <w:ilvl w:val="0"/>
          <w:numId w:val="2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组织法律法规的遵循情况  </w:t>
      </w:r>
    </w:p>
    <w:p>
      <w:pPr>
        <w:pStyle w:val="7"/>
        <w:numPr>
          <w:ilvl w:val="0"/>
          <w:numId w:val="2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内审和管理评审的实施情况 </w:t>
      </w:r>
    </w:p>
    <w:p>
      <w:pPr>
        <w:pStyle w:val="7"/>
        <w:numPr>
          <w:ilvl w:val="0"/>
          <w:numId w:val="2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管理体系文件审核 </w:t>
      </w:r>
    </w:p>
    <w:p>
      <w:pPr>
        <w:pStyle w:val="7"/>
        <w:numPr>
          <w:ilvl w:val="0"/>
          <w:numId w:val="2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识别二阶段审核的资源配置情况</w:t>
      </w:r>
    </w:p>
    <w:p>
      <w:pPr>
        <w:spacing w:line="360" w:lineRule="auto"/>
        <w:ind w:firstLine="422" w:firstLineChars="200"/>
        <w:jc w:val="left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4、审核报告仅发放至审核委托方及本公司。</w:t>
      </w:r>
    </w:p>
    <w:p/>
    <w:sectPr>
      <w:headerReference r:id="rId3" w:type="default"/>
      <w:footerReference r:id="rId4" w:type="default"/>
      <w:pgSz w:w="11906" w:h="16838"/>
      <w:pgMar w:top="1440" w:right="1080" w:bottom="1440" w:left="1080" w:header="851" w:footer="992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  <w:font w:name="华文细黑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724895"/>
      <w:docPartObj>
        <w:docPartGallery w:val="autotext"/>
      </w:docPartObj>
    </w:sdtPr>
    <w:sdtContent>
      <w:sdt>
        <w:sdtPr>
          <w:id w:val="171357217"/>
          <w:docPartObj>
            <w:docPartGallery w:val="autotext"/>
          </w:docPartObj>
        </w:sdtPr>
        <w:sdtContent>
          <w:p>
            <w:pPr>
              <w:pStyle w:val="3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3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11"/>
        <w:rFonts w:hint="default"/>
      </w:rPr>
    </w:pP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11"/>
        <w:rFonts w:hint="default"/>
      </w:rPr>
      <w:t>北京国标联合认证有限公司</w:t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</w:p>
  <w:p>
    <w:pPr>
      <w:pStyle w:val="4"/>
      <w:pBdr>
        <w:bottom w:val="none" w:color="auto" w:sz="0" w:space="0"/>
      </w:pBdr>
      <w:spacing w:line="320" w:lineRule="exact"/>
      <w:ind w:firstLine="720" w:firstLineChars="400"/>
      <w:jc w:val="left"/>
    </w:pPr>
    <w:r>
      <w:pict>
        <v:shape id="_x0000_s4097" o:spid="_x0000_s4097" o:spt="202" type="#_x0000_t202" style="position:absolute;left:0pt;margin-left:330.5pt;margin-top:2.2pt;height:20.2pt;width:155.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-I-05 一阶段审核计划(03版)</w:t>
                </w:r>
              </w:p>
            </w:txbxContent>
          </v:textbox>
        </v:shape>
      </w:pict>
    </w:r>
    <w:r>
      <w:rPr>
        <w:rStyle w:val="11"/>
        <w:rFonts w:hint="default"/>
        <w:w w:val="90"/>
      </w:rPr>
      <w:t>Beijing International Standard united Certification Co.,Ltd.</w:t>
    </w:r>
  </w:p>
  <w:p>
    <w:pPr>
      <w:pStyle w:val="4"/>
      <w:tabs>
        <w:tab w:val="left" w:pos="4155"/>
        <w:tab w:val="clear" w:pos="4153"/>
      </w:tabs>
      <w:jc w:val="both"/>
    </w:pP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86FEDA4B"/>
    <w:multiLevelType w:val="singleLevel"/>
    <w:tmpl w:val="86FEDA4B"/>
    <w:lvl w:ilvl="0" w:tentative="0">
      <w:start w:val="5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11B91558"/>
    <w:multiLevelType w:val="multilevel"/>
    <w:tmpl w:val="11B91558"/>
    <w:lvl w:ilvl="0" w:tentative="0">
      <w:start w:val="1"/>
      <w:numFmt w:val="decimal"/>
      <w:lvlText w:val="%1)"/>
      <w:lvlJc w:val="left"/>
      <w:pPr>
        <w:ind w:left="852" w:hanging="420"/>
      </w:pPr>
    </w:lvl>
    <w:lvl w:ilvl="1" w:tentative="0">
      <w:start w:val="1"/>
      <w:numFmt w:val="lowerLetter"/>
      <w:lvlText w:val="%2)"/>
      <w:lvlJc w:val="left"/>
      <w:pPr>
        <w:ind w:left="1272" w:hanging="420"/>
      </w:pPr>
    </w:lvl>
    <w:lvl w:ilvl="2" w:tentative="0">
      <w:start w:val="1"/>
      <w:numFmt w:val="lowerRoman"/>
      <w:lvlText w:val="%3."/>
      <w:lvlJc w:val="right"/>
      <w:pPr>
        <w:ind w:left="1692" w:hanging="420"/>
      </w:pPr>
    </w:lvl>
    <w:lvl w:ilvl="3" w:tentative="0">
      <w:start w:val="1"/>
      <w:numFmt w:val="decimal"/>
      <w:lvlText w:val="%4."/>
      <w:lvlJc w:val="left"/>
      <w:pPr>
        <w:ind w:left="2112" w:hanging="420"/>
      </w:pPr>
    </w:lvl>
    <w:lvl w:ilvl="4" w:tentative="0">
      <w:start w:val="1"/>
      <w:numFmt w:val="lowerLetter"/>
      <w:lvlText w:val="%5)"/>
      <w:lvlJc w:val="left"/>
      <w:pPr>
        <w:ind w:left="2532" w:hanging="420"/>
      </w:pPr>
    </w:lvl>
    <w:lvl w:ilvl="5" w:tentative="0">
      <w:start w:val="1"/>
      <w:numFmt w:val="lowerRoman"/>
      <w:lvlText w:val="%6."/>
      <w:lvlJc w:val="right"/>
      <w:pPr>
        <w:ind w:left="2952" w:hanging="420"/>
      </w:pPr>
    </w:lvl>
    <w:lvl w:ilvl="6" w:tentative="0">
      <w:start w:val="1"/>
      <w:numFmt w:val="decimal"/>
      <w:lvlText w:val="%7."/>
      <w:lvlJc w:val="left"/>
      <w:pPr>
        <w:ind w:left="3372" w:hanging="420"/>
      </w:pPr>
    </w:lvl>
    <w:lvl w:ilvl="7" w:tentative="0">
      <w:start w:val="1"/>
      <w:numFmt w:val="lowerLetter"/>
      <w:lvlText w:val="%8)"/>
      <w:lvlJc w:val="left"/>
      <w:pPr>
        <w:ind w:left="3792" w:hanging="420"/>
      </w:pPr>
    </w:lvl>
    <w:lvl w:ilvl="8" w:tentative="0">
      <w:start w:val="1"/>
      <w:numFmt w:val="lowerRoman"/>
      <w:lvlText w:val="%9."/>
      <w:lvlJc w:val="right"/>
      <w:pPr>
        <w:ind w:left="4212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054E5AEB"/>
    <w:rsid w:val="10BB0D93"/>
    <w:rsid w:val="21857336"/>
    <w:rsid w:val="67104C7F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List Paragraph"/>
    <w:basedOn w:val="1"/>
    <w:qFormat/>
    <w:uiPriority w:val="34"/>
    <w:pPr>
      <w:ind w:firstLine="420" w:firstLineChars="200"/>
    </w:pPr>
  </w:style>
  <w:style w:type="character" w:customStyle="1" w:styleId="8">
    <w:name w:val="页眉 字符"/>
    <w:basedOn w:val="6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页脚 字符"/>
    <w:basedOn w:val="6"/>
    <w:link w:val="3"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批注框文本 字符"/>
    <w:basedOn w:val="6"/>
    <w:link w:val="2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3</Pages>
  <Words>189</Words>
  <Characters>1080</Characters>
  <Lines>9</Lines>
  <Paragraphs>2</Paragraphs>
  <TotalTime>1</TotalTime>
  <ScaleCrop>false</ScaleCrop>
  <LinksUpToDate>false</LinksUpToDate>
  <CharactersWithSpaces>1267</CharactersWithSpaces>
  <Application>WPS Office_11.1.0.9912_F1E327BC-269C-435d-A152-05C5408002CA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2015-06-17T12:16:00Z</dcterms:created>
  <dc:creator>微软用户</dc:creator>
  <cp:lastModifiedBy>Dell</cp:lastModifiedBy>
  <cp:lastPrinted>2019-03-27T03:10:00Z</cp:lastPrinted>
  <dcterms:modified xsi:type="dcterms:W3CDTF">2020-08-28T08:27:04Z</dcterms:modified>
  <cp:revision>23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2052-11.1.0.9912</vt:lpwstr>
  </property>
</Properties>
</file>