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四川乐诚新材料有限公司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赵勋平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四川顶立胶业有限公司</w:t>
            </w:r>
          </w:p>
        </w:tc>
        <w:tc>
          <w:tcPr>
            <w:tcW w:w="1728" w:type="dxa"/>
            <w:gridSpan w:val="2"/>
            <w:vAlign w:val="center"/>
          </w:tcPr>
          <w:p>
            <w:pPr>
              <w:jc w:val="center"/>
              <w:rPr>
                <w:b/>
                <w:sz w:val="21"/>
                <w:szCs w:val="21"/>
              </w:rPr>
            </w:pPr>
            <w:r>
              <w:rPr>
                <w:b/>
                <w:sz w:val="21"/>
                <w:szCs w:val="21"/>
              </w:rPr>
              <w:t>12.03.00,12.05.02,16.02.04</w:t>
            </w:r>
          </w:p>
        </w:tc>
        <w:tc>
          <w:tcPr>
            <w:tcW w:w="1729" w:type="dxa"/>
            <w:gridSpan w:val="2"/>
            <w:vAlign w:val="center"/>
          </w:tcPr>
          <w:p>
            <w:pPr>
              <w:jc w:val="center"/>
              <w:rPr>
                <w:b/>
                <w:sz w:val="21"/>
                <w:szCs w:val="21"/>
              </w:rPr>
            </w:pPr>
            <w:r>
              <w:rPr>
                <w:b/>
                <w:sz w:val="21"/>
                <w:szCs w:val="21"/>
              </w:rPr>
              <w:t>ISC-JSZJ-075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jc w:val="center"/>
              <w:rPr>
                <w:rFonts w:ascii="宋体"/>
                <w:b/>
                <w:color w:val="auto"/>
                <w:sz w:val="21"/>
              </w:rPr>
            </w:pPr>
            <w:bookmarkStart w:id="11" w:name="组织名称Add"/>
            <w:r>
              <w:rPr>
                <w:rFonts w:ascii="宋体"/>
                <w:b/>
                <w:color w:val="auto"/>
                <w:sz w:val="21"/>
              </w:rPr>
              <w:t>四川乐诚新材料有限公司</w:t>
            </w:r>
            <w:bookmarkEnd w:id="11"/>
          </w:p>
        </w:tc>
        <w:tc>
          <w:tcPr>
            <w:tcW w:w="1672" w:type="dxa"/>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jc w:val="center"/>
              <w:rPr>
                <w:b/>
                <w:color w:val="auto"/>
                <w:spacing w:val="-20"/>
              </w:rPr>
            </w:pPr>
            <w:r>
              <w:rPr>
                <w:rFonts w:hint="eastAsia" w:ascii="宋体" w:hAnsi="宋体"/>
                <w:b/>
                <w:color w:val="auto"/>
                <w:sz w:val="21"/>
              </w:rPr>
              <w:t>变动情况核实</w:t>
            </w:r>
          </w:p>
        </w:tc>
        <w:tc>
          <w:tcPr>
            <w:tcW w:w="1500" w:type="dxa"/>
          </w:tcPr>
          <w:p>
            <w:pPr>
              <w:spacing w:line="260" w:lineRule="exact"/>
              <w:jc w:val="center"/>
              <w:rPr>
                <w:rFonts w:hint="default" w:ascii="宋体" w:eastAsia="宋体"/>
                <w:b/>
                <w:color w:val="auto"/>
                <w:sz w:val="21"/>
                <w:lang w:val="en-US" w:eastAsia="zh-CN"/>
              </w:rPr>
            </w:pPr>
            <w:r>
              <w:rPr>
                <w:rFonts w:hint="eastAsia" w:ascii="宋体"/>
                <w:b/>
                <w:color w:val="auto"/>
                <w:sz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成都市青白江区工业集中发展区向阳路666号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成都市青白江区工业集中发展区向阳路666号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成都市青白江区工业集中发展区向阳路666号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戢焕俊</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13438483236</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黄富</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黄富</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戢焕俊</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2020年12月17日 上午至2020年12月17日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b/>
                <w:sz w:val="21"/>
                <w:szCs w:val="21"/>
              </w:rPr>
              <w:t>水性涂料(不含危险品）、胶粘剂、干粉腻子、砂浆的生产</w:t>
            </w:r>
            <w:bookmarkEnd w:id="25"/>
            <w:r>
              <w:rPr>
                <w:rFonts w:hint="eastAsia" w:ascii="宋体" w:hAnsi="宋体"/>
                <w:b/>
                <w:sz w:val="21"/>
                <w:szCs w:val="21"/>
              </w:rPr>
              <w:t xml:space="preserve"> </w:t>
            </w:r>
            <w:r>
              <w:rPr>
                <w:rFonts w:hint="eastAsia" w:ascii="宋体" w:hAnsi="宋体"/>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val="en-US" w:eastAsia="zh-CN"/>
              </w:rPr>
              <w:t>原</w:t>
            </w:r>
            <w:r>
              <w:rPr>
                <w:rFonts w:hint="eastAsia" w:ascii="宋体" w:hAnsi="宋体"/>
                <w:b/>
                <w:sz w:val="21"/>
                <w:szCs w:val="21"/>
              </w:rPr>
              <w:t xml:space="preserve">人数20人，变更后人数45人 </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12.03.00;12.05.02;16.02.04</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Helvetica" w:hAnsi="Helvetica" w:eastAsia="Helvetica" w:cs="Helvetica"/>
                <w:i w:val="0"/>
                <w:caps w:val="0"/>
                <w:color w:val="000000"/>
                <w:spacing w:val="0"/>
                <w:sz w:val="21"/>
                <w:szCs w:val="21"/>
                <w:shd w:val="clear" w:fill="FFFFFF"/>
              </w:rPr>
              <w:t>2023-02-10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Helvetica" w:hAnsi="Helvetica" w:eastAsia="Helvetica" w:cs="Helvetica"/>
                <w:i w:val="0"/>
                <w:caps w:val="0"/>
                <w:color w:val="000000"/>
                <w:spacing w:val="0"/>
                <w:sz w:val="21"/>
                <w:szCs w:val="21"/>
                <w:shd w:val="clear" w:fill="FFFFFF"/>
              </w:rPr>
              <w:t>2019-12-27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2019年12月27日至2020年12月17日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994" w:tblpY="6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水性涂料(不含危险品）、胶粘剂、干粉腻子、砂浆的生产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sz w:val="24"/>
                <w:szCs w:val="22"/>
                <w:highlight w:val="none"/>
                <w:lang w:val="en-US" w:eastAsia="zh-CN"/>
              </w:rPr>
              <w:t>配料过程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u w:val="single"/>
                <w:lang w:val="en-US" w:eastAsia="zh-CN"/>
              </w:rPr>
              <w:t>公司</w:t>
            </w:r>
            <w:r>
              <w:rPr>
                <w:rFonts w:hint="eastAsia" w:ascii="宋体" w:hAnsi="宋体"/>
                <w:szCs w:val="21"/>
                <w:u w:val="single"/>
              </w:rPr>
              <w:t>水性涂料(不含危险品）、胶粘剂、干粉腻子、砂浆的生产</w:t>
            </w:r>
            <w:r>
              <w:rPr>
                <w:rFonts w:hint="eastAsia" w:ascii="宋体" w:hAnsi="宋体" w:cs="Times New Roman"/>
                <w:color w:val="000000"/>
                <w:szCs w:val="21"/>
                <w:u w:val="single"/>
                <w:lang w:val="en-US" w:eastAsia="zh-CN"/>
              </w:rPr>
              <w:t>依据国家成熟工艺，模式固定,按国家规定的生产技术要求生产,因此标准8.3条款“产品和服务的设计和开发”要求不适用。</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2"/>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3"/>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spacing w:line="360" w:lineRule="auto"/>
              <w:jc w:val="left"/>
              <w:rPr>
                <w:rFonts w:hint="eastAsia" w:ascii="宋体" w:hAnsi="宋体" w:cs="宋体"/>
                <w:color w:val="000000"/>
                <w:szCs w:val="24"/>
              </w:rPr>
            </w:pPr>
            <w:r>
              <w:rPr>
                <w:rFonts w:hint="eastAsia" w:ascii="宋体" w:hAnsi="宋体" w:cs="宋体"/>
                <w:color w:val="000000"/>
                <w:szCs w:val="24"/>
                <w:lang w:val="en-US" w:eastAsia="zh-CN"/>
              </w:rPr>
              <w:t>1、</w:t>
            </w:r>
            <w:r>
              <w:rPr>
                <w:rFonts w:hint="eastAsia" w:ascii="宋体" w:hAnsi="宋体" w:cs="宋体"/>
                <w:color w:val="000000"/>
                <w:szCs w:val="24"/>
              </w:rPr>
              <w:t>产品出厂合格率</w:t>
            </w:r>
            <w:r>
              <w:rPr>
                <w:rFonts w:hint="eastAsia" w:ascii="宋体" w:hAnsi="宋体" w:cs="宋体"/>
                <w:color w:val="000000"/>
                <w:szCs w:val="24"/>
                <w:lang w:val="en-US" w:eastAsia="zh-CN"/>
              </w:rPr>
              <w:t>达到</w:t>
            </w:r>
            <w:r>
              <w:rPr>
                <w:rFonts w:hint="eastAsia" w:ascii="宋体" w:hAnsi="宋体" w:cs="宋体"/>
                <w:color w:val="000000"/>
                <w:szCs w:val="24"/>
              </w:rPr>
              <w:t>100%</w:t>
            </w:r>
          </w:p>
          <w:p>
            <w:pPr>
              <w:spacing w:line="360" w:lineRule="auto"/>
              <w:jc w:val="left"/>
              <w:rPr>
                <w:rFonts w:ascii="宋体" w:hAnsi="宋体"/>
                <w:b/>
                <w:color w:val="000000" w:themeColor="text1"/>
              </w:rPr>
            </w:pPr>
            <w:r>
              <w:rPr>
                <w:rFonts w:hint="eastAsia" w:ascii="宋体" w:hAnsi="宋体" w:cs="宋体"/>
                <w:color w:val="000000"/>
                <w:szCs w:val="24"/>
                <w:lang w:val="en-US" w:eastAsia="zh-CN"/>
              </w:rPr>
              <w:t>2</w:t>
            </w:r>
            <w:r>
              <w:rPr>
                <w:rFonts w:hint="eastAsia" w:ascii="宋体" w:hAnsi="宋体" w:cs="宋体"/>
                <w:color w:val="000000"/>
                <w:szCs w:val="24"/>
                <w:lang w:eastAsia="zh-CN"/>
              </w:rPr>
              <w:t>、</w:t>
            </w:r>
            <w:r>
              <w:rPr>
                <w:rFonts w:hint="eastAsia" w:ascii="宋体" w:hAnsi="宋体" w:cs="宋体"/>
                <w:color w:val="000000"/>
                <w:szCs w:val="24"/>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80" w:firstLineChars="200"/>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5000</w:t>
            </w:r>
            <w:r>
              <w:rPr>
                <w:rFonts w:hint="eastAsia" w:ascii="宋体" w:hAnsi="宋体"/>
                <w:bCs/>
                <w:iCs/>
                <w:highlight w:val="none"/>
              </w:rPr>
              <w:t>平方</w:t>
            </w:r>
            <w:r>
              <w:rPr>
                <w:rFonts w:hint="eastAsia" w:ascii="宋体" w:hAnsi="宋体" w:cs="Times New Roman"/>
                <w:bCs/>
                <w:iCs/>
                <w:highlight w:val="none"/>
              </w:rPr>
              <w:t>米左右，库房</w:t>
            </w:r>
            <w:r>
              <w:rPr>
                <w:rFonts w:hint="eastAsia" w:ascii="宋体" w:hAnsi="宋体" w:cs="Times New Roman"/>
                <w:bCs/>
                <w:iCs/>
                <w:highlight w:val="none"/>
                <w:lang w:eastAsia="zh-CN"/>
              </w:rPr>
              <w:t>与生产场所分区</w:t>
            </w:r>
            <w:r>
              <w:rPr>
                <w:rFonts w:hint="eastAsia" w:ascii="宋体" w:hAnsi="宋体" w:cs="Times New Roman"/>
                <w:bCs/>
                <w:iCs/>
                <w:highlight w:val="none"/>
              </w:rPr>
              <w:t>，办公场所面积</w:t>
            </w:r>
            <w:r>
              <w:rPr>
                <w:rFonts w:hint="eastAsia" w:ascii="宋体" w:hAnsi="宋体" w:cs="Times New Roman"/>
                <w:bCs/>
                <w:iCs/>
                <w:highlight w:val="none"/>
                <w:lang w:val="en-US" w:eastAsia="zh-CN"/>
              </w:rPr>
              <w:t>300</w:t>
            </w:r>
            <w:r>
              <w:rPr>
                <w:rFonts w:hint="eastAsia" w:ascii="宋体" w:hAnsi="宋体" w:cs="Times New Roman"/>
                <w:bCs/>
                <w:iCs/>
                <w:highlight w:val="none"/>
              </w:rPr>
              <w:t>平方米左右.主要生产设备包括</w:t>
            </w:r>
            <w:r>
              <w:rPr>
                <w:rFonts w:hint="eastAsia" w:ascii="宋体" w:hAnsi="宋体" w:cs="Times New Roman"/>
                <w:bCs/>
                <w:iCs/>
                <w:highlight w:val="none"/>
                <w:lang w:eastAsia="zh-CN"/>
              </w:rPr>
              <w:t>：</w:t>
            </w:r>
            <w:r>
              <w:rPr>
                <w:rFonts w:hint="eastAsia" w:ascii="宋体" w:hAnsi="宋体" w:cs="Times New Roman"/>
                <w:bCs/>
                <w:iCs/>
                <w:highlight w:val="none"/>
                <w:lang w:val="en-US" w:eastAsia="zh-CN"/>
              </w:rPr>
              <w:t>脉冲布袋除尘器、叶轮包装机、码垛机器人、高效梨刀式混合机、震动筛机、粉料罐体、罐体搅拌机、高温反应釜、胶水罐、蒸汽锅炉、变频分散机、传福压滤机等</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8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w:t>
            </w:r>
            <w:r>
              <w:rPr>
                <w:rFonts w:hint="eastAsia" w:ascii="宋体" w:hAnsi="宋体" w:cs="宋体"/>
                <w:b w:val="0"/>
                <w:bCs w:val="0"/>
                <w:color w:val="000000"/>
                <w:szCs w:val="21"/>
                <w:highlight w:val="none"/>
              </w:rPr>
              <w:t>，均采用委外送检的方式。抽在用检具的检定或校准证书能提供在用检具的有效检定或校准证据。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02" w:firstLineChars="200"/>
              <w:rPr>
                <w:rFonts w:hint="default" w:eastAsia="宋体"/>
                <w:b/>
                <w:color w:val="000000" w:themeColor="text1"/>
                <w:sz w:val="20"/>
                <w:szCs w:val="20"/>
                <w:lang w:val="en-US" w:eastAsia="zh-CN"/>
              </w:rPr>
            </w:pPr>
            <w:r>
              <w:rPr>
                <w:rFonts w:hint="eastAsia"/>
                <w:b/>
                <w:color w:val="000000" w:themeColor="text1"/>
                <w:sz w:val="20"/>
                <w:szCs w:val="20"/>
                <w:lang w:val="en-US" w:eastAsia="zh-CN"/>
              </w:rPr>
              <w:t>提供相关产品检验报告，详细见附件。</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叉车、锅炉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ascii="宋体" w:hAnsi="宋体" w:cs="宋体"/>
                <w:szCs w:val="24"/>
                <w:lang w:eastAsia="zh-CN"/>
              </w:rPr>
              <w:t>2020年</w:t>
            </w:r>
            <w:r>
              <w:rPr>
                <w:rFonts w:hint="eastAsia" w:ascii="宋体" w:hAnsi="宋体" w:cs="宋体"/>
                <w:szCs w:val="24"/>
                <w:lang w:val="en-US" w:eastAsia="zh-CN"/>
              </w:rPr>
              <w:t>6</w:t>
            </w:r>
            <w:r>
              <w:rPr>
                <w:rFonts w:hint="eastAsia" w:ascii="宋体" w:hAnsi="宋体" w:cs="宋体"/>
                <w:szCs w:val="24"/>
                <w:lang w:eastAsia="zh-CN"/>
              </w:rPr>
              <w:t>月1</w:t>
            </w:r>
            <w:r>
              <w:rPr>
                <w:rFonts w:hint="eastAsia" w:ascii="宋体" w:hAnsi="宋体" w:cs="宋体"/>
                <w:szCs w:val="24"/>
                <w:lang w:val="en-US" w:eastAsia="zh-CN"/>
              </w:rPr>
              <w:t>5</w:t>
            </w:r>
            <w:r>
              <w:rPr>
                <w:rFonts w:hint="eastAsia" w:ascii="宋体" w:hAnsi="宋体" w:cs="宋体"/>
                <w:szCs w:val="24"/>
                <w:lang w:eastAsia="zh-CN"/>
              </w:rPr>
              <w:t>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color w:val="000000"/>
                <w:szCs w:val="24"/>
              </w:rPr>
              <w:t>涉及</w:t>
            </w:r>
            <w:r>
              <w:rPr>
                <w:rFonts w:hint="eastAsia" w:ascii="宋体" w:hAnsi="宋体" w:cs="宋体"/>
                <w:color w:val="000000"/>
                <w:szCs w:val="24"/>
                <w:lang w:val="en-US" w:eastAsia="zh-CN"/>
              </w:rPr>
              <w:t>行政部不符合7.5条款，</w:t>
            </w:r>
            <w:r>
              <w:rPr>
                <w:rFonts w:hint="eastAsia" w:ascii="宋体" w:hAnsi="宋体" w:cs="宋体"/>
                <w:color w:val="000000"/>
                <w:szCs w:val="24"/>
              </w:rPr>
              <w:t>发现部分法律法规未及时更</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管理评审频次为一年一次、本次管理评审</w:t>
            </w:r>
            <w:r>
              <w:rPr>
                <w:rFonts w:hint="eastAsia" w:ascii="宋体" w:hAnsi="宋体" w:cs="宋体"/>
                <w:szCs w:val="21"/>
                <w:lang w:val="en-US" w:eastAsia="zh-CN"/>
              </w:rPr>
              <w:t>于2020年07月02日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经现场验证上一次审核不符合8.5.1条款，本次审核未出现类似情况。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74624" behindDoc="0" locked="0" layoutInCell="1" allowOverlap="1">
            <wp:simplePos x="0" y="0"/>
            <wp:positionH relativeFrom="column">
              <wp:posOffset>1668145</wp:posOffset>
            </wp:positionH>
            <wp:positionV relativeFrom="paragraph">
              <wp:posOffset>180975</wp:posOffset>
            </wp:positionV>
            <wp:extent cx="461645" cy="326390"/>
            <wp:effectExtent l="0" t="0" r="14605" b="1651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61645" cy="326390"/>
                    </a:xfrm>
                    <a:prstGeom prst="rect">
                      <a:avLst/>
                    </a:prstGeom>
                  </pic:spPr>
                </pic:pic>
              </a:graphicData>
            </a:graphic>
          </wp:anchor>
        </w:drawing>
      </w:r>
      <w:r>
        <w:rPr>
          <w:rFonts w:hint="eastAsia"/>
          <w:b/>
          <w:sz w:val="26"/>
          <w:szCs w:val="26"/>
        </w:rPr>
        <w:t>十二、审核组签字</w:t>
      </w:r>
      <w:bookmarkStart w:id="29" w:name="_GoBack"/>
      <w:bookmarkEnd w:id="29"/>
    </w:p>
    <w:p>
      <w:pPr>
        <w:snapToGrid w:val="0"/>
        <w:spacing w:line="240" w:lineRule="auto"/>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rFonts w:hint="eastAsia" w:eastAsia="宋体"/>
          <w:b/>
          <w:sz w:val="21"/>
          <w:lang w:eastAsia="zh-CN"/>
        </w:rPr>
      </w:pPr>
      <w:r>
        <w:rPr>
          <w:rFonts w:hint="eastAsia" w:eastAsia="宋体"/>
          <w:b/>
          <w:sz w:val="21"/>
          <w:lang w:eastAsia="zh-CN"/>
        </w:rPr>
        <w:drawing>
          <wp:anchor distT="0" distB="0" distL="114300" distR="114300" simplePos="0" relativeHeight="251693056" behindDoc="0" locked="0" layoutInCell="1" allowOverlap="1">
            <wp:simplePos x="0" y="0"/>
            <wp:positionH relativeFrom="column">
              <wp:posOffset>1718945</wp:posOffset>
            </wp:positionH>
            <wp:positionV relativeFrom="paragraph">
              <wp:posOffset>110490</wp:posOffset>
            </wp:positionV>
            <wp:extent cx="789305" cy="250825"/>
            <wp:effectExtent l="0" t="0" r="10795" b="16510"/>
            <wp:wrapSquare wrapText="bothSides"/>
            <wp:docPr id="3" name="图片 3" descr="赵勋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赵勋平"/>
                    <pic:cNvPicPr>
                      <a:picLocks noChangeAspect="1"/>
                    </pic:cNvPicPr>
                  </pic:nvPicPr>
                  <pic:blipFill>
                    <a:blip r:embed="rId7"/>
                    <a:stretch>
                      <a:fillRect/>
                    </a:stretch>
                  </pic:blipFill>
                  <pic:spPr>
                    <a:xfrm>
                      <a:off x="0" y="0"/>
                      <a:ext cx="789305" cy="25082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eastAsia="宋体"/>
          <w:b/>
          <w:sz w:val="21"/>
          <w:lang w:eastAsia="zh-CN"/>
        </w:rPr>
        <w:drawing>
          <wp:anchor distT="0" distB="0" distL="114300" distR="114300" simplePos="0" relativeHeight="251692032" behindDoc="0" locked="0" layoutInCell="1" allowOverlap="1">
            <wp:simplePos x="0" y="0"/>
            <wp:positionH relativeFrom="column">
              <wp:posOffset>1247140</wp:posOffset>
            </wp:positionH>
            <wp:positionV relativeFrom="paragraph">
              <wp:posOffset>163830</wp:posOffset>
            </wp:positionV>
            <wp:extent cx="461645" cy="326390"/>
            <wp:effectExtent l="0" t="0" r="14605" b="165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461645" cy="326390"/>
                    </a:xfrm>
                    <a:prstGeom prst="rect">
                      <a:avLst/>
                    </a:prstGeom>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A67556"/>
    <w:rsid w:val="1B9636C8"/>
    <w:rsid w:val="1EED4FA4"/>
    <w:rsid w:val="42867953"/>
    <w:rsid w:val="454B3057"/>
    <w:rsid w:val="7D8A71A7"/>
    <w:rsid w:val="7E027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2020-12-17T06:03:38Z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