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中迅商旅（北京）投资有限公司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曲丽娜</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2017-N0QMS-1230170</w:t>
            </w:r>
          </w:p>
          <w:p>
            <w:pPr>
              <w:snapToGrid w:val="0"/>
              <w:spacing w:line="320" w:lineRule="exact"/>
              <w:ind w:left="1309"/>
              <w:rPr>
                <w:sz w:val="22"/>
                <w:szCs w:val="22"/>
                <w:highlight w:val="none"/>
              </w:rPr>
            </w:pPr>
            <w:r>
              <w:rPr>
                <w:sz w:val="22"/>
                <w:szCs w:val="22"/>
                <w:highlight w:val="none"/>
              </w:rPr>
              <w:t>2017-N0EMS-1230170</w:t>
            </w:r>
          </w:p>
          <w:p>
            <w:pPr>
              <w:snapToGrid w:val="0"/>
              <w:spacing w:line="320" w:lineRule="exact"/>
              <w:ind w:left="1309"/>
              <w:rPr>
                <w:sz w:val="22"/>
                <w:szCs w:val="22"/>
                <w:highlight w:val="none"/>
              </w:rPr>
            </w:pPr>
            <w:r>
              <w:rPr>
                <w:sz w:val="22"/>
                <w:szCs w:val="22"/>
                <w:highlight w:val="none"/>
              </w:rPr>
              <w:t>2017-N0OHSMS-1230170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北京诚和敬养老投资有限责任公司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2020年8月16日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2020年8月16</w:t>
            </w:r>
            <w:bookmarkStart w:id="4" w:name="_GoBack"/>
            <w:bookmarkEnd w:id="4"/>
            <w:r>
              <w:rPr>
                <w:rFonts w:hint="eastAsia"/>
                <w:sz w:val="20"/>
                <w:lang w:val="en-US" w:eastAsia="zh-CN"/>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2020年8月16日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66474F"/>
    <w:rsid w:val="428F3C44"/>
    <w:rsid w:val="66D86C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2020-08-17T07:31:43Z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