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1008"/>
        <w:gridCol w:w="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008"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管理层、综合部、销售部</w:t>
            </w:r>
            <w:r>
              <w:rPr>
                <w:rFonts w:hint="eastAsia"/>
                <w:sz w:val="24"/>
                <w:szCs w:val="24"/>
                <w:lang w:val="en-US" w:eastAsia="zh-CN"/>
              </w:rPr>
              <w:t xml:space="preserve">       </w:t>
            </w:r>
            <w:r>
              <w:rPr>
                <w:rFonts w:hint="eastAsia"/>
                <w:sz w:val="24"/>
                <w:szCs w:val="24"/>
              </w:rPr>
              <w:t>主管领导</w:t>
            </w:r>
            <w:r>
              <w:rPr>
                <w:rFonts w:hint="eastAsia"/>
                <w:sz w:val="24"/>
                <w:szCs w:val="24"/>
                <w:lang w:eastAsia="zh-CN"/>
              </w:rPr>
              <w:t>：总经理</w:t>
            </w:r>
            <w:r>
              <w:rPr>
                <w:rFonts w:hint="eastAsia"/>
                <w:sz w:val="24"/>
                <w:szCs w:val="24"/>
              </w:rPr>
              <w:t>魏中华</w:t>
            </w:r>
            <w:r>
              <w:rPr>
                <w:rFonts w:hint="eastAsia"/>
                <w:sz w:val="24"/>
                <w:szCs w:val="24"/>
                <w:lang w:eastAsia="zh-CN"/>
              </w:rPr>
              <w:t>及各部门领导</w:t>
            </w:r>
          </w:p>
        </w:tc>
        <w:tc>
          <w:tcPr>
            <w:tcW w:w="58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1008" w:type="dxa"/>
            <w:vAlign w:val="center"/>
          </w:tcPr>
          <w:p>
            <w:pPr>
              <w:spacing w:before="120"/>
            </w:pPr>
            <w:r>
              <w:rPr>
                <w:rFonts w:hint="eastAsia"/>
                <w:sz w:val="24"/>
                <w:szCs w:val="24"/>
              </w:rPr>
              <w:t>审核员：</w:t>
            </w:r>
            <w:r>
              <w:rPr>
                <w:rFonts w:hint="eastAsia" w:ascii="宋体" w:hAnsi="宋体" w:eastAsia="宋体" w:cs="宋体"/>
                <w:sz w:val="21"/>
                <w:szCs w:val="21"/>
                <w:lang w:eastAsia="zh-CN"/>
              </w:rPr>
              <w:t>王志慧</w:t>
            </w:r>
            <w:r>
              <w:rPr>
                <w:rFonts w:hint="eastAsia" w:ascii="宋体" w:hAnsi="宋体" w:cs="宋体"/>
                <w:sz w:val="21"/>
                <w:szCs w:val="21"/>
                <w:lang w:eastAsia="zh-CN"/>
              </w:rPr>
              <w:t>（见证）</w:t>
            </w:r>
            <w:r>
              <w:rPr>
                <w:rFonts w:hint="eastAsia" w:ascii="宋体" w:hAnsi="宋体" w:cs="宋体"/>
                <w:sz w:val="21"/>
                <w:szCs w:val="21"/>
                <w:lang w:val="en-US" w:eastAsia="zh-CN"/>
              </w:rPr>
              <w:t xml:space="preserve"> </w:t>
            </w:r>
            <w:bookmarkStart w:id="0" w:name="_GoBack"/>
            <w:bookmarkEnd w:id="0"/>
            <w:r>
              <w:rPr>
                <w:rFonts w:hint="eastAsia" w:ascii="宋体" w:hAnsi="宋体" w:eastAsia="宋体" w:cs="宋体"/>
                <w:sz w:val="21"/>
                <w:szCs w:val="21"/>
                <w:lang w:eastAsia="zh-CN"/>
              </w:rPr>
              <w:t xml:space="preserve">  曲丽娜（</w:t>
            </w:r>
            <w:r>
              <w:rPr>
                <w:rFonts w:hint="eastAsia" w:ascii="宋体" w:hAnsi="宋体" w:cs="宋体"/>
                <w:sz w:val="21"/>
                <w:szCs w:val="21"/>
                <w:lang w:eastAsia="zh-CN"/>
              </w:rPr>
              <w:t>晋级见证</w:t>
            </w:r>
            <w:r>
              <w:rPr>
                <w:rFonts w:hint="eastAsia" w:ascii="宋体" w:hAnsi="宋体" w:eastAsia="宋体" w:cs="宋体"/>
                <w:sz w:val="21"/>
                <w:szCs w:val="21"/>
                <w:lang w:eastAsia="zh-CN"/>
              </w:rPr>
              <w:t>）</w:t>
            </w:r>
            <w:r>
              <w:rPr>
                <w:rFonts w:hint="eastAsia" w:ascii="宋体" w:hAnsi="宋体" w:eastAsia="宋体" w:cs="宋体"/>
                <w:sz w:val="21"/>
                <w:szCs w:val="21"/>
              </w:rPr>
              <w:t xml:space="preserve">       审核时间：2020年8月</w:t>
            </w:r>
            <w:r>
              <w:rPr>
                <w:rFonts w:hint="eastAsia" w:ascii="宋体" w:hAnsi="宋体" w:eastAsia="宋体" w:cs="宋体"/>
                <w:sz w:val="21"/>
                <w:szCs w:val="21"/>
                <w:lang w:val="en-US" w:eastAsia="zh-CN"/>
              </w:rPr>
              <w:t>1</w:t>
            </w:r>
            <w:r>
              <w:rPr>
                <w:rFonts w:hint="eastAsia" w:ascii="宋体" w:hAnsi="宋体" w:cs="宋体"/>
                <w:sz w:val="21"/>
                <w:szCs w:val="21"/>
                <w:lang w:val="en-US" w:eastAsia="zh-CN"/>
              </w:rPr>
              <w:t>6</w:t>
            </w:r>
            <w:r>
              <w:rPr>
                <w:rFonts w:hint="eastAsia" w:ascii="宋体" w:hAnsi="宋体" w:eastAsia="宋体" w:cs="宋体"/>
                <w:sz w:val="21"/>
                <w:szCs w:val="21"/>
              </w:rPr>
              <w:t>日</w:t>
            </w:r>
          </w:p>
        </w:tc>
        <w:tc>
          <w:tcPr>
            <w:tcW w:w="58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1008" w:type="dxa"/>
            <w:vAlign w:val="center"/>
          </w:tcPr>
          <w:p>
            <w:pPr>
              <w:rPr>
                <w:rFonts w:hint="eastAsia" w:eastAsia="宋体"/>
                <w:sz w:val="24"/>
                <w:szCs w:val="24"/>
                <w:lang w:eastAsia="zh-CN"/>
              </w:rPr>
            </w:pPr>
            <w:r>
              <w:rPr>
                <w:rFonts w:hint="eastAsia"/>
                <w:sz w:val="24"/>
                <w:szCs w:val="24"/>
              </w:rPr>
              <w:t>审核条款：</w:t>
            </w:r>
            <w:r>
              <w:rPr>
                <w:rFonts w:hint="eastAsia"/>
                <w:sz w:val="24"/>
                <w:szCs w:val="24"/>
                <w:lang w:eastAsia="zh-CN"/>
              </w:rPr>
              <w:t>略</w:t>
            </w:r>
          </w:p>
        </w:tc>
        <w:tc>
          <w:tcPr>
            <w:tcW w:w="58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szCs w:val="22"/>
              </w:rPr>
            </w:pPr>
            <w:r>
              <w:rPr>
                <w:rFonts w:hint="eastAsia"/>
                <w:szCs w:val="22"/>
              </w:rPr>
              <w:t>理解组织及其环境</w:t>
            </w:r>
          </w:p>
          <w:p>
            <w:pPr>
              <w:rPr>
                <w:rFonts w:hint="eastAsia"/>
                <w:szCs w:val="22"/>
              </w:rPr>
            </w:pPr>
            <w:r>
              <w:rPr>
                <w:rFonts w:hint="eastAsia"/>
                <w:szCs w:val="22"/>
              </w:rPr>
              <w:t>总要求</w:t>
            </w:r>
          </w:p>
          <w:p/>
        </w:tc>
        <w:tc>
          <w:tcPr>
            <w:tcW w:w="960" w:type="dxa"/>
            <w:vAlign w:val="top"/>
          </w:tcPr>
          <w:p>
            <w:pPr>
              <w:rPr>
                <w:rFonts w:hint="eastAsia"/>
                <w:szCs w:val="22"/>
              </w:rPr>
            </w:pPr>
            <w:r>
              <w:rPr>
                <w:rFonts w:hint="eastAsia"/>
                <w:szCs w:val="22"/>
              </w:rPr>
              <w:t>QEO</w:t>
            </w:r>
          </w:p>
          <w:p>
            <w:pPr>
              <w:rPr>
                <w:rFonts w:hint="eastAsia"/>
                <w:szCs w:val="22"/>
              </w:rPr>
            </w:pPr>
            <w:r>
              <w:rPr>
                <w:rFonts w:hint="eastAsia"/>
                <w:szCs w:val="22"/>
              </w:rPr>
              <w:t>4.1</w:t>
            </w:r>
          </w:p>
          <w:p/>
        </w:tc>
        <w:tc>
          <w:tcPr>
            <w:tcW w:w="11008" w:type="dxa"/>
            <w:vAlign w:val="center"/>
          </w:tcPr>
          <w:p>
            <w:pPr>
              <w:rPr>
                <w:rFonts w:hint="eastAsia"/>
                <w:szCs w:val="22"/>
                <w:lang w:eastAsia="zh-CN"/>
              </w:rPr>
            </w:pPr>
            <w:r>
              <w:rPr>
                <w:rFonts w:hint="eastAsia"/>
                <w:szCs w:val="22"/>
              </w:rPr>
              <w:t>公司成立于201</w:t>
            </w:r>
            <w:r>
              <w:rPr>
                <w:rFonts w:hint="eastAsia"/>
                <w:szCs w:val="22"/>
                <w:lang w:val="en-US" w:eastAsia="zh-CN"/>
              </w:rPr>
              <w:t>0</w:t>
            </w:r>
            <w:r>
              <w:rPr>
                <w:rFonts w:hint="eastAsia"/>
                <w:szCs w:val="22"/>
              </w:rPr>
              <w:t xml:space="preserve"> 年</w:t>
            </w:r>
            <w:r>
              <w:rPr>
                <w:rFonts w:hint="eastAsia"/>
                <w:szCs w:val="22"/>
                <w:lang w:val="en-US" w:eastAsia="zh-CN"/>
              </w:rPr>
              <w:t>1</w:t>
            </w:r>
            <w:r>
              <w:rPr>
                <w:rFonts w:hint="eastAsia"/>
                <w:szCs w:val="22"/>
              </w:rPr>
              <w:t>2月</w:t>
            </w:r>
            <w:r>
              <w:rPr>
                <w:rFonts w:hint="eastAsia"/>
                <w:szCs w:val="22"/>
                <w:lang w:val="en-US" w:eastAsia="zh-CN"/>
              </w:rPr>
              <w:t>08</w:t>
            </w:r>
            <w:r>
              <w:rPr>
                <w:rFonts w:hint="eastAsia"/>
                <w:szCs w:val="22"/>
              </w:rPr>
              <w:t>日，营业期限：201</w:t>
            </w:r>
            <w:r>
              <w:rPr>
                <w:rFonts w:hint="eastAsia"/>
                <w:szCs w:val="22"/>
                <w:lang w:val="en-US" w:eastAsia="zh-CN"/>
              </w:rPr>
              <w:t>0</w:t>
            </w:r>
            <w:r>
              <w:rPr>
                <w:rFonts w:hint="eastAsia"/>
                <w:szCs w:val="22"/>
              </w:rPr>
              <w:t>年</w:t>
            </w:r>
            <w:r>
              <w:rPr>
                <w:rFonts w:hint="eastAsia"/>
                <w:szCs w:val="22"/>
                <w:lang w:val="en-US" w:eastAsia="zh-CN"/>
              </w:rPr>
              <w:t>1</w:t>
            </w:r>
            <w:r>
              <w:rPr>
                <w:rFonts w:hint="eastAsia"/>
                <w:szCs w:val="22"/>
              </w:rPr>
              <w:t>2月</w:t>
            </w:r>
            <w:r>
              <w:rPr>
                <w:rFonts w:hint="eastAsia"/>
                <w:szCs w:val="22"/>
                <w:lang w:val="en-US" w:eastAsia="zh-CN"/>
              </w:rPr>
              <w:t>8</w:t>
            </w:r>
            <w:r>
              <w:rPr>
                <w:rFonts w:hint="eastAsia"/>
                <w:szCs w:val="22"/>
              </w:rPr>
              <w:t>日-2</w:t>
            </w:r>
            <w:r>
              <w:rPr>
                <w:rFonts w:hint="eastAsia"/>
                <w:szCs w:val="22"/>
                <w:lang w:val="en-US" w:eastAsia="zh-CN"/>
              </w:rPr>
              <w:t>040</w:t>
            </w:r>
            <w:r>
              <w:rPr>
                <w:rFonts w:hint="eastAsia"/>
                <w:szCs w:val="22"/>
              </w:rPr>
              <w:t>年</w:t>
            </w:r>
            <w:r>
              <w:rPr>
                <w:rFonts w:hint="eastAsia"/>
                <w:szCs w:val="22"/>
                <w:lang w:val="en-US" w:eastAsia="zh-CN"/>
              </w:rPr>
              <w:t>1</w:t>
            </w:r>
            <w:r>
              <w:rPr>
                <w:rFonts w:hint="eastAsia"/>
                <w:szCs w:val="22"/>
              </w:rPr>
              <w:t>2月</w:t>
            </w:r>
            <w:r>
              <w:rPr>
                <w:rFonts w:hint="eastAsia"/>
                <w:szCs w:val="22"/>
                <w:lang w:val="en-US" w:eastAsia="zh-CN"/>
              </w:rPr>
              <w:t>07</w:t>
            </w:r>
            <w:r>
              <w:rPr>
                <w:rFonts w:hint="eastAsia"/>
                <w:szCs w:val="22"/>
              </w:rPr>
              <w:t>日，注册资金：</w:t>
            </w:r>
            <w:r>
              <w:rPr>
                <w:rFonts w:hint="eastAsia"/>
                <w:szCs w:val="22"/>
                <w:lang w:val="en-US" w:eastAsia="zh-CN"/>
              </w:rPr>
              <w:t>102</w:t>
            </w:r>
            <w:r>
              <w:rPr>
                <w:rFonts w:hint="eastAsia"/>
                <w:szCs w:val="22"/>
              </w:rPr>
              <w:t>0万，企业信用代码：9111010</w:t>
            </w:r>
            <w:r>
              <w:rPr>
                <w:rFonts w:hint="eastAsia"/>
                <w:szCs w:val="22"/>
                <w:lang w:val="en-US" w:eastAsia="zh-CN"/>
              </w:rPr>
              <w:t>25657693007</w:t>
            </w:r>
            <w:r>
              <w:rPr>
                <w:rFonts w:hint="eastAsia"/>
                <w:szCs w:val="22"/>
              </w:rPr>
              <w:t>，注册地址：北京市</w:t>
            </w:r>
            <w:r>
              <w:rPr>
                <w:rFonts w:hint="eastAsia"/>
                <w:szCs w:val="22"/>
                <w:lang w:eastAsia="zh-CN"/>
              </w:rPr>
              <w:t>西城区平原里</w:t>
            </w:r>
            <w:r>
              <w:rPr>
                <w:rFonts w:hint="eastAsia"/>
                <w:szCs w:val="22"/>
                <w:lang w:val="en-US" w:eastAsia="zh-CN"/>
              </w:rPr>
              <w:t>21号楼10层B1107</w:t>
            </w:r>
            <w:r>
              <w:rPr>
                <w:rFonts w:hint="eastAsia"/>
                <w:szCs w:val="22"/>
              </w:rPr>
              <w:t>，经营范围包括日用品的销售</w:t>
            </w:r>
            <w:r>
              <w:rPr>
                <w:rFonts w:hint="eastAsia"/>
                <w:szCs w:val="22"/>
                <w:lang w:eastAsia="zh-CN"/>
              </w:rPr>
              <w:t>、</w:t>
            </w:r>
            <w:r>
              <w:rPr>
                <w:rFonts w:hint="eastAsia"/>
                <w:szCs w:val="22"/>
              </w:rPr>
              <w:t>餐饮管理</w:t>
            </w:r>
            <w:r>
              <w:rPr>
                <w:rFonts w:hint="eastAsia"/>
                <w:szCs w:val="22"/>
                <w:lang w:eastAsia="zh-CN"/>
              </w:rPr>
              <w:t>。</w:t>
            </w:r>
          </w:p>
          <w:p>
            <w:pPr>
              <w:rPr>
                <w:rFonts w:hint="eastAsia"/>
                <w:szCs w:val="22"/>
              </w:rPr>
            </w:pPr>
            <w:r>
              <w:rPr>
                <w:rFonts w:hint="eastAsia"/>
                <w:szCs w:val="22"/>
              </w:rPr>
              <w:t>公司的主要客户群为北京的企业等；公司采用总经理负责制，层层把关，让用户真正放心</w:t>
            </w:r>
          </w:p>
          <w:p>
            <w:pPr>
              <w:rPr>
                <w:rFonts w:hint="eastAsia"/>
                <w:szCs w:val="22"/>
              </w:rPr>
            </w:pPr>
            <w:r>
              <w:rPr>
                <w:rFonts w:hint="eastAsia"/>
                <w:szCs w:val="22"/>
              </w:rPr>
              <w:t>远程见到营业执照，见附件。</w:t>
            </w:r>
          </w:p>
          <w:p>
            <w:pPr>
              <w:rPr>
                <w:rFonts w:hint="eastAsia"/>
                <w:szCs w:val="22"/>
              </w:rPr>
            </w:pPr>
            <w:r>
              <w:rPr>
                <w:rFonts w:hint="eastAsia"/>
                <w:szCs w:val="22"/>
              </w:rPr>
              <w:t>管理手册，实施、发布日期：20</w:t>
            </w:r>
            <w:r>
              <w:rPr>
                <w:rFonts w:hint="eastAsia"/>
                <w:szCs w:val="22"/>
                <w:lang w:val="en-US" w:eastAsia="zh-CN"/>
              </w:rPr>
              <w:t>20</w:t>
            </w:r>
            <w:r>
              <w:rPr>
                <w:rFonts w:hint="eastAsia"/>
                <w:szCs w:val="22"/>
              </w:rPr>
              <w:t>.</w:t>
            </w:r>
            <w:r>
              <w:rPr>
                <w:rFonts w:hint="eastAsia"/>
                <w:szCs w:val="22"/>
                <w:lang w:val="en-US" w:eastAsia="zh-CN"/>
              </w:rPr>
              <w:t>3</w:t>
            </w:r>
            <w:r>
              <w:rPr>
                <w:rFonts w:hint="eastAsia"/>
                <w:szCs w:val="22"/>
              </w:rPr>
              <w:t>.10；远程视频查看，办公区面积约</w:t>
            </w:r>
            <w:r>
              <w:rPr>
                <w:rFonts w:hint="eastAsia"/>
                <w:szCs w:val="22"/>
                <w:lang w:val="en-US" w:eastAsia="zh-CN"/>
              </w:rPr>
              <w:t>63.17</w:t>
            </w:r>
            <w:r>
              <w:rPr>
                <w:rFonts w:hint="eastAsia"/>
                <w:szCs w:val="22"/>
              </w:rPr>
              <w:t>平米。远程视频确认范围</w:t>
            </w:r>
          </w:p>
          <w:p>
            <w:pPr>
              <w:rPr>
                <w:rFonts w:hint="eastAsia"/>
                <w:szCs w:val="22"/>
              </w:rPr>
            </w:pPr>
            <w:r>
              <w:rPr>
                <w:rFonts w:hint="eastAsia"/>
                <w:szCs w:val="22"/>
              </w:rPr>
              <w:t>Q：日用品的销售</w:t>
            </w:r>
            <w:r>
              <w:rPr>
                <w:rFonts w:hint="eastAsia"/>
                <w:szCs w:val="22"/>
                <w:lang w:eastAsia="zh-CN"/>
              </w:rPr>
              <w:t>、</w:t>
            </w:r>
            <w:r>
              <w:rPr>
                <w:rFonts w:hint="eastAsia"/>
                <w:szCs w:val="22"/>
              </w:rPr>
              <w:t>餐饮管理</w:t>
            </w:r>
          </w:p>
          <w:p>
            <w:pPr>
              <w:rPr>
                <w:rFonts w:hint="eastAsia"/>
                <w:szCs w:val="22"/>
              </w:rPr>
            </w:pPr>
            <w:r>
              <w:rPr>
                <w:rFonts w:hint="eastAsia"/>
                <w:szCs w:val="22"/>
              </w:rPr>
              <w:t>E：日用品的销售</w:t>
            </w:r>
            <w:r>
              <w:rPr>
                <w:rFonts w:hint="eastAsia"/>
                <w:szCs w:val="22"/>
                <w:lang w:eastAsia="zh-CN"/>
              </w:rPr>
              <w:t>、</w:t>
            </w:r>
            <w:r>
              <w:rPr>
                <w:rFonts w:hint="eastAsia"/>
                <w:szCs w:val="22"/>
              </w:rPr>
              <w:t>餐饮管理及相关环境管理活动</w:t>
            </w:r>
          </w:p>
          <w:p>
            <w:r>
              <w:rPr>
                <w:rFonts w:hint="eastAsia"/>
                <w:szCs w:val="22"/>
              </w:rPr>
              <w:t>O：日用品的销售</w:t>
            </w:r>
            <w:r>
              <w:rPr>
                <w:rFonts w:hint="eastAsia"/>
                <w:szCs w:val="22"/>
                <w:lang w:eastAsia="zh-CN"/>
              </w:rPr>
              <w:t>、</w:t>
            </w:r>
            <w:r>
              <w:rPr>
                <w:rFonts w:hint="eastAsia"/>
                <w:szCs w:val="22"/>
              </w:rPr>
              <w:t>餐饮管理及相关职业健康安全管理活动</w:t>
            </w:r>
            <w:r>
              <w:rPr>
                <w:rFonts w:hint="eastAsia"/>
                <w:szCs w:val="22"/>
                <w:lang w:val="en-US" w:eastAsia="zh-CN"/>
              </w:rPr>
              <w:t xml:space="preserve"> </w:t>
            </w:r>
          </w:p>
        </w:tc>
        <w:tc>
          <w:tcPr>
            <w:tcW w:w="58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160" w:type="dxa"/>
            <w:vAlign w:val="top"/>
          </w:tcPr>
          <w:p>
            <w:pPr>
              <w:rPr>
                <w:rFonts w:hint="eastAsia"/>
                <w:szCs w:val="22"/>
              </w:rPr>
            </w:pPr>
            <w:r>
              <w:rPr>
                <w:rFonts w:hint="eastAsia"/>
                <w:szCs w:val="22"/>
              </w:rPr>
              <w:t>理解相关方的需求和期望</w:t>
            </w:r>
          </w:p>
          <w:p/>
        </w:tc>
        <w:tc>
          <w:tcPr>
            <w:tcW w:w="960" w:type="dxa"/>
            <w:vAlign w:val="top"/>
          </w:tcPr>
          <w:p>
            <w:pPr>
              <w:rPr>
                <w:rFonts w:hint="eastAsia"/>
                <w:szCs w:val="22"/>
              </w:rPr>
            </w:pPr>
            <w:r>
              <w:rPr>
                <w:rFonts w:hint="eastAsia"/>
                <w:szCs w:val="22"/>
              </w:rPr>
              <w:t>QEO4.2</w:t>
            </w:r>
          </w:p>
          <w:p/>
        </w:tc>
        <w:tc>
          <w:tcPr>
            <w:tcW w:w="11008" w:type="dxa"/>
            <w:vAlign w:val="center"/>
          </w:tcPr>
          <w:p>
            <w:pPr>
              <w:rPr>
                <w:rFonts w:hint="eastAsia"/>
                <w:szCs w:val="22"/>
              </w:rPr>
            </w:pPr>
            <w:r>
              <w:rPr>
                <w:rFonts w:hint="eastAsia"/>
                <w:szCs w:val="22"/>
              </w:rPr>
              <w:t>与质量/环境/职业健康安全管理体系有关的相关方；</w:t>
            </w:r>
          </w:p>
          <w:p>
            <w:pPr>
              <w:rPr>
                <w:rFonts w:hint="eastAsia"/>
                <w:szCs w:val="22"/>
              </w:rPr>
            </w:pPr>
            <w:r>
              <w:rPr>
                <w:rFonts w:hint="eastAsia"/>
                <w:szCs w:val="22"/>
              </w:rPr>
              <w:t>公司的相关方包括：包括客户、供应商、员工、审核机构及政府机关等。</w:t>
            </w:r>
          </w:p>
          <w:p>
            <w:pPr>
              <w:rPr>
                <w:rFonts w:hint="eastAsia"/>
                <w:szCs w:val="22"/>
              </w:rPr>
            </w:pPr>
            <w:r>
              <w:rPr>
                <w:rFonts w:hint="eastAsia"/>
                <w:szCs w:val="22"/>
              </w:rPr>
              <w:t>公司还更新以上确定的结果，以便于理解和满足影响顾客要求和顾客满意度的需求和期望。</w:t>
            </w:r>
          </w:p>
          <w:p>
            <w:r>
              <w:rPr>
                <w:rFonts w:hint="eastAsia"/>
                <w:szCs w:val="22"/>
              </w:rPr>
              <w:t>查组织环境分析报告，对客户，供应商、审核机构及政府机</w:t>
            </w:r>
            <w:r>
              <w:rPr>
                <w:rFonts w:hint="eastAsia"/>
                <w:szCs w:val="22"/>
                <w:lang w:eastAsia="zh-CN"/>
              </w:rPr>
              <w:t>关</w:t>
            </w:r>
            <w:r>
              <w:rPr>
                <w:rFonts w:hint="eastAsia"/>
                <w:szCs w:val="22"/>
              </w:rPr>
              <w:t>进行了分析。报告日期为2020.3.10，编制人为安媛，审批人为魏中华。</w:t>
            </w:r>
          </w:p>
        </w:tc>
        <w:tc>
          <w:tcPr>
            <w:tcW w:w="58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szCs w:val="22"/>
              </w:rPr>
            </w:pPr>
            <w:r>
              <w:rPr>
                <w:rFonts w:hint="eastAsia"/>
                <w:szCs w:val="22"/>
              </w:rPr>
              <w:t>确定管理体系的范围</w:t>
            </w:r>
          </w:p>
          <w:p/>
        </w:tc>
        <w:tc>
          <w:tcPr>
            <w:tcW w:w="960" w:type="dxa"/>
            <w:vAlign w:val="top"/>
          </w:tcPr>
          <w:p>
            <w:pPr>
              <w:rPr>
                <w:rFonts w:hint="eastAsia"/>
                <w:szCs w:val="22"/>
              </w:rPr>
            </w:pPr>
            <w:r>
              <w:rPr>
                <w:rFonts w:hint="eastAsia"/>
                <w:szCs w:val="22"/>
              </w:rPr>
              <w:t>QEO4.3</w:t>
            </w:r>
          </w:p>
          <w:p/>
        </w:tc>
        <w:tc>
          <w:tcPr>
            <w:tcW w:w="11008" w:type="dxa"/>
            <w:vAlign w:val="center"/>
          </w:tcPr>
          <w:p>
            <w:pPr>
              <w:rPr>
                <w:rFonts w:hint="eastAsia"/>
                <w:szCs w:val="22"/>
              </w:rPr>
            </w:pPr>
            <w:r>
              <w:rPr>
                <w:rFonts w:hint="eastAsia"/>
                <w:szCs w:val="22"/>
              </w:rPr>
              <w:t>公司管理体系范围为：</w:t>
            </w:r>
          </w:p>
          <w:p>
            <w:pPr>
              <w:rPr>
                <w:rFonts w:hint="eastAsia"/>
                <w:szCs w:val="22"/>
              </w:rPr>
            </w:pPr>
            <w:r>
              <w:rPr>
                <w:rFonts w:hint="eastAsia"/>
                <w:szCs w:val="22"/>
              </w:rPr>
              <w:t>Q：日用品的销售</w:t>
            </w:r>
            <w:r>
              <w:rPr>
                <w:rFonts w:hint="eastAsia"/>
                <w:szCs w:val="22"/>
                <w:lang w:eastAsia="zh-CN"/>
              </w:rPr>
              <w:t>、</w:t>
            </w:r>
            <w:r>
              <w:rPr>
                <w:rFonts w:hint="eastAsia"/>
                <w:szCs w:val="22"/>
              </w:rPr>
              <w:t>餐饮管理</w:t>
            </w:r>
          </w:p>
          <w:p>
            <w:pPr>
              <w:rPr>
                <w:rFonts w:hint="eastAsia"/>
                <w:szCs w:val="22"/>
              </w:rPr>
            </w:pPr>
            <w:r>
              <w:rPr>
                <w:rFonts w:hint="eastAsia"/>
                <w:szCs w:val="22"/>
              </w:rPr>
              <w:t>E：日用品的销售</w:t>
            </w:r>
            <w:r>
              <w:rPr>
                <w:rFonts w:hint="eastAsia"/>
                <w:szCs w:val="22"/>
                <w:lang w:eastAsia="zh-CN"/>
              </w:rPr>
              <w:t>、</w:t>
            </w:r>
            <w:r>
              <w:rPr>
                <w:rFonts w:hint="eastAsia"/>
                <w:szCs w:val="22"/>
              </w:rPr>
              <w:t>餐饮管理及相关环境管理活动</w:t>
            </w:r>
          </w:p>
          <w:p>
            <w:pPr>
              <w:rPr>
                <w:rFonts w:hint="eastAsia"/>
                <w:szCs w:val="22"/>
              </w:rPr>
            </w:pPr>
            <w:r>
              <w:rPr>
                <w:rFonts w:hint="eastAsia"/>
                <w:szCs w:val="22"/>
              </w:rPr>
              <w:t>O：日用品的销售</w:t>
            </w:r>
            <w:r>
              <w:rPr>
                <w:rFonts w:hint="eastAsia"/>
                <w:szCs w:val="22"/>
                <w:lang w:eastAsia="zh-CN"/>
              </w:rPr>
              <w:t>、</w:t>
            </w:r>
            <w:r>
              <w:rPr>
                <w:rFonts w:hint="eastAsia"/>
                <w:szCs w:val="22"/>
              </w:rPr>
              <w:t>餐饮管理及相关职业健康安全管理活动</w:t>
            </w:r>
          </w:p>
          <w:p>
            <w:r>
              <w:rPr>
                <w:rFonts w:hint="eastAsia"/>
                <w:szCs w:val="22"/>
              </w:rPr>
              <w:t>不适用条款QMS：</w:t>
            </w:r>
            <w:r>
              <w:rPr>
                <w:rFonts w:hint="eastAsia"/>
                <w:szCs w:val="22"/>
                <w:lang w:val="en-US" w:eastAsia="zh-CN"/>
              </w:rPr>
              <w:t xml:space="preserve">  根据本公司产品特点，本公司日用品的销售;餐饮管理过程不涉及设计开发，故删除8.3条款，不影响体系运行的实施。        </w:t>
            </w:r>
          </w:p>
        </w:tc>
        <w:tc>
          <w:tcPr>
            <w:tcW w:w="58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szCs w:val="22"/>
              </w:rPr>
            </w:pPr>
            <w:r>
              <w:rPr>
                <w:rFonts w:hint="eastAsia"/>
                <w:szCs w:val="22"/>
              </w:rPr>
              <w:t>管理体系及其过程</w:t>
            </w:r>
          </w:p>
          <w:p/>
        </w:tc>
        <w:tc>
          <w:tcPr>
            <w:tcW w:w="960" w:type="dxa"/>
            <w:vAlign w:val="top"/>
          </w:tcPr>
          <w:p>
            <w:pPr>
              <w:rPr>
                <w:rFonts w:hint="eastAsia"/>
                <w:szCs w:val="22"/>
              </w:rPr>
            </w:pPr>
            <w:r>
              <w:rPr>
                <w:rFonts w:hint="eastAsia"/>
                <w:szCs w:val="22"/>
              </w:rPr>
              <w:t>QEO4.4</w:t>
            </w:r>
          </w:p>
          <w:p/>
        </w:tc>
        <w:tc>
          <w:tcPr>
            <w:tcW w:w="11008" w:type="dxa"/>
            <w:vAlign w:val="center"/>
          </w:tcPr>
          <w:p>
            <w:pPr>
              <w:rPr>
                <w:rFonts w:hint="eastAsia"/>
                <w:szCs w:val="22"/>
              </w:rPr>
            </w:pPr>
            <w:r>
              <w:rPr>
                <w:rFonts w:hint="eastAsia"/>
                <w:szCs w:val="22"/>
              </w:rPr>
              <w:t>该公司20</w:t>
            </w:r>
            <w:r>
              <w:rPr>
                <w:rFonts w:hint="eastAsia"/>
                <w:szCs w:val="22"/>
                <w:lang w:val="en-US" w:eastAsia="zh-CN"/>
              </w:rPr>
              <w:t>20</w:t>
            </w:r>
            <w:r>
              <w:rPr>
                <w:rFonts w:hint="eastAsia"/>
                <w:szCs w:val="22"/>
              </w:rPr>
              <w:t>.</w:t>
            </w:r>
            <w:r>
              <w:rPr>
                <w:rFonts w:hint="eastAsia"/>
                <w:szCs w:val="22"/>
                <w:lang w:val="en-US" w:eastAsia="zh-CN"/>
              </w:rPr>
              <w:t>3</w:t>
            </w:r>
            <w:r>
              <w:rPr>
                <w:rFonts w:hint="eastAsia"/>
                <w:szCs w:val="22"/>
              </w:rPr>
              <w:t>.10根据自身的实际情况和标准的要求组织人员编制了管理手册、作业文件和记录表格，制定了管理方针和管理目标。按照GB/T19001-2016 idt ISO9001:2015《质量管理体系  要求》、GB/T24001-2016 idt ISO14001:2015《环境管理体系 要求及使用指南》和GB/T45001-2020/ISO45001:2018《职业健康安全管理体系 要求及使用指南》标准的要求建立、实施、保持和改进质量/环境/职业健康安全管理体系,包括所需过程及其相互作用。</w:t>
            </w:r>
          </w:p>
          <w:p>
            <w:pPr>
              <w:rPr>
                <w:rFonts w:hint="eastAsia"/>
                <w:szCs w:val="22"/>
              </w:rPr>
            </w:pPr>
            <w:r>
              <w:rPr>
                <w:rFonts w:hint="eastAsia"/>
                <w:szCs w:val="22"/>
              </w:rPr>
              <w:t>与负责人交流：部门确定了满足与管理体系有关的客户及相关方的要求。</w:t>
            </w:r>
          </w:p>
          <w:p>
            <w:r>
              <w:rPr>
                <w:rFonts w:hint="eastAsia"/>
                <w:szCs w:val="22"/>
              </w:rPr>
              <w:t>为能在公司范围内更好的应用质量/环境/职业健康安全管理体系及其过程方法，综合部编制《管理手册》，作为公司质量管理的纲领性文件；编制《程序文件》，说明本公司内部质量/环境/职业健康安全体系运行的各过程及其之间的顺序和相互作用；编制各类支持性文件及记录表格等作为证明过程运行的证据。</w:t>
            </w:r>
          </w:p>
        </w:tc>
        <w:tc>
          <w:tcPr>
            <w:tcW w:w="58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szCs w:val="22"/>
              </w:rPr>
            </w:pPr>
            <w:r>
              <w:rPr>
                <w:rFonts w:hint="eastAsia"/>
                <w:szCs w:val="22"/>
              </w:rPr>
              <w:t>方针</w:t>
            </w:r>
          </w:p>
          <w:p>
            <w:pPr>
              <w:rPr>
                <w:rFonts w:hint="eastAsia"/>
                <w:szCs w:val="22"/>
              </w:rPr>
            </w:pPr>
            <w:r>
              <w:rPr>
                <w:rFonts w:hint="eastAsia"/>
                <w:szCs w:val="22"/>
              </w:rPr>
              <w:t>制定方针</w:t>
            </w:r>
          </w:p>
          <w:p>
            <w:r>
              <w:rPr>
                <w:rFonts w:hint="eastAsia"/>
                <w:szCs w:val="22"/>
              </w:rPr>
              <w:t>沟通方针</w:t>
            </w:r>
          </w:p>
        </w:tc>
        <w:tc>
          <w:tcPr>
            <w:tcW w:w="960" w:type="dxa"/>
            <w:vAlign w:val="top"/>
          </w:tcPr>
          <w:p>
            <w:pPr>
              <w:rPr>
                <w:rFonts w:hint="eastAsia"/>
                <w:szCs w:val="22"/>
              </w:rPr>
            </w:pPr>
            <w:r>
              <w:rPr>
                <w:rFonts w:hint="eastAsia"/>
                <w:szCs w:val="22"/>
              </w:rPr>
              <w:t>QEO5.2</w:t>
            </w:r>
          </w:p>
          <w:p>
            <w:pPr>
              <w:rPr>
                <w:rFonts w:hint="eastAsia"/>
                <w:szCs w:val="22"/>
              </w:rPr>
            </w:pPr>
          </w:p>
          <w:p>
            <w:pPr>
              <w:rPr>
                <w:rFonts w:hint="eastAsia"/>
                <w:szCs w:val="22"/>
              </w:rPr>
            </w:pPr>
          </w:p>
          <w:p/>
        </w:tc>
        <w:tc>
          <w:tcPr>
            <w:tcW w:w="11008" w:type="dxa"/>
            <w:vAlign w:val="center"/>
          </w:tcPr>
          <w:p>
            <w:pPr>
              <w:rPr>
                <w:rFonts w:hint="eastAsia"/>
                <w:szCs w:val="22"/>
              </w:rPr>
            </w:pPr>
            <w:r>
              <w:rPr>
                <w:rFonts w:hint="eastAsia"/>
                <w:szCs w:val="22"/>
              </w:rPr>
              <w:t>该公司管理方针</w:t>
            </w:r>
          </w:p>
          <w:p>
            <w:pPr>
              <w:rPr>
                <w:rFonts w:hint="eastAsia"/>
                <w:szCs w:val="22"/>
              </w:rPr>
            </w:pPr>
            <w:r>
              <w:rPr>
                <w:rFonts w:hint="eastAsia"/>
                <w:szCs w:val="22"/>
              </w:rPr>
              <w:t>守法诚信追求质量，预防污染保护环境；</w:t>
            </w:r>
          </w:p>
          <w:p>
            <w:pPr>
              <w:rPr>
                <w:rFonts w:hint="eastAsia"/>
                <w:szCs w:val="22"/>
              </w:rPr>
            </w:pPr>
            <w:r>
              <w:rPr>
                <w:rFonts w:hint="eastAsia"/>
                <w:szCs w:val="22"/>
              </w:rPr>
              <w:t xml:space="preserve">      关爱员工健康安全，持续改进追求卓越。</w:t>
            </w:r>
          </w:p>
          <w:p>
            <w:pPr>
              <w:rPr>
                <w:rFonts w:hint="eastAsia"/>
                <w:szCs w:val="22"/>
              </w:rPr>
            </w:pPr>
            <w:r>
              <w:rPr>
                <w:rFonts w:hint="eastAsia"/>
                <w:szCs w:val="22"/>
              </w:rPr>
              <w:t>公司以质量、环境、职业健康安全标准为基础，结合公司实际特制定管理方针。与总经理进行交谈，总经理魏中华对方针内涵的理解较深刻。方针能为制定目标提供框架，方针基本符合标准的要求。</w:t>
            </w:r>
          </w:p>
          <w:p>
            <w:r>
              <w:rPr>
                <w:rFonts w:hint="eastAsia"/>
                <w:szCs w:val="22"/>
              </w:rPr>
              <w:t>通过培训、教育或会议等方式在公司内部沟通、推广质量/环境/职业健康安全方针使公司各级人员理解质量/环境/职业健康安全方针并应用。适宜时，可作为宣传向有关相关方提供。总经理魏中华说管理评审时对方针的持续适宜性进行了评审，有评审记录。</w:t>
            </w:r>
          </w:p>
        </w:tc>
        <w:tc>
          <w:tcPr>
            <w:tcW w:w="58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2160" w:type="dxa"/>
            <w:vAlign w:val="center"/>
          </w:tcPr>
          <w:p>
            <w:pP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环境因素</w:t>
            </w:r>
          </w:p>
          <w:p>
            <w:pPr>
              <w:rPr>
                <w:rFonts w:hint="eastAsia"/>
                <w:szCs w:val="22"/>
              </w:rPr>
            </w:pPr>
            <w:r>
              <w:rPr>
                <w:rFonts w:hint="eastAsia" w:asciiTheme="minorEastAsia" w:hAnsiTheme="minorEastAsia" w:eastAsiaTheme="minorEastAsia" w:cstheme="minorEastAsia"/>
                <w:sz w:val="21"/>
                <w:szCs w:val="21"/>
              </w:rPr>
              <w:t>危险源识别</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E</w:t>
            </w:r>
            <w:r>
              <w:rPr>
                <w:rFonts w:hint="eastAsia" w:asciiTheme="minorEastAsia" w:hAnsiTheme="minorEastAsia" w:eastAsiaTheme="minorEastAsia" w:cstheme="minorEastAsia"/>
                <w:sz w:val="21"/>
                <w:szCs w:val="21"/>
              </w:rPr>
              <w:t>O6.1.2</w:t>
            </w:r>
          </w:p>
          <w:p/>
        </w:tc>
        <w:tc>
          <w:tcPr>
            <w:tcW w:w="11008" w:type="dxa"/>
            <w:vAlign w:val="center"/>
          </w:tcPr>
          <w:p>
            <w:pPr>
              <w:spacing w:line="360" w:lineRule="auto"/>
              <w:rPr>
                <w:rFonts w:hint="eastAsia"/>
              </w:rPr>
            </w:pPr>
            <w:r>
              <w:rPr>
                <w:rFonts w:hint="eastAsia" w:asciiTheme="minorEastAsia" w:hAnsiTheme="minorEastAsia" w:eastAsiaTheme="minorEastAsia" w:cstheme="minorEastAsia"/>
                <w:sz w:val="21"/>
                <w:szCs w:val="21"/>
                <w:lang w:val="en-US" w:eastAsia="zh-CN"/>
              </w:rPr>
              <w:t>编制了《环境因素识别与评价控制程序》，经查基本符合标准要求。提供《环境因素评价表》，《重要环境因素清单》，其中重要环境因素：火灾发生、固废排放；</w:t>
            </w:r>
            <w:r>
              <w:rPr>
                <w:rFonts w:hint="eastAsia"/>
              </w:rPr>
              <w:t>编制了ZXSL -CX-8.1-21《危险源辨识、风险评价和控制措施的控制程序》</w:t>
            </w:r>
          </w:p>
          <w:p>
            <w:pPr>
              <w:numPr>
                <w:ilvl w:val="0"/>
                <w:numId w:val="0"/>
              </w:numPr>
              <w:spacing w:line="360" w:lineRule="auto"/>
              <w:ind w:left="316" w:leftChars="0" w:firstLine="0" w:firstLineChars="0"/>
              <w:jc w:val="left"/>
              <w:rPr>
                <w:rFonts w:hint="eastAsia"/>
                <w:szCs w:val="22"/>
              </w:rPr>
            </w:pPr>
          </w:p>
        </w:tc>
        <w:tc>
          <w:tcPr>
            <w:tcW w:w="58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szCs w:val="22"/>
              </w:rPr>
            </w:pPr>
            <w:r>
              <w:rPr>
                <w:rFonts w:hint="eastAsia" w:asciiTheme="minorEastAsia" w:hAnsiTheme="minorEastAsia" w:eastAsiaTheme="minorEastAsia" w:cstheme="minorEastAsia"/>
                <w:sz w:val="21"/>
                <w:szCs w:val="21"/>
              </w:rPr>
              <w:t>合规义务、法律法规及其他要求</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E</w:t>
            </w:r>
            <w:r>
              <w:rPr>
                <w:rFonts w:hint="eastAsia" w:asciiTheme="minorEastAsia" w:hAnsiTheme="minorEastAsia" w:eastAsiaTheme="minorEastAsia" w:cstheme="minorEastAsia"/>
                <w:sz w:val="21"/>
                <w:szCs w:val="21"/>
              </w:rPr>
              <w:t>O6.1.3</w:t>
            </w:r>
          </w:p>
          <w:p/>
        </w:tc>
        <w:tc>
          <w:tcPr>
            <w:tcW w:w="11008" w:type="dxa"/>
            <w:vAlign w:val="center"/>
          </w:tcPr>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根据《法律法规和其它要求控制程序》要求，随时对法律法规的更新进行跟踪，并进行补充。于2020年3月15日识别了法律法规清单。获取渠道为网上下载。</w:t>
            </w:r>
          </w:p>
          <w:p>
            <w:pPr>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提供《法律法规和其他要求清单》收集的环境和安全法律法规。</w:t>
            </w:r>
          </w:p>
          <w:p>
            <w:pPr>
              <w:rPr>
                <w:rFonts w:hint="eastAsia"/>
                <w:szCs w:val="22"/>
              </w:rPr>
            </w:pPr>
            <w:r>
              <w:rPr>
                <w:rFonts w:hint="eastAsia" w:asciiTheme="minorEastAsia" w:hAnsiTheme="minorEastAsia" w:eastAsiaTheme="minorEastAsia" w:cstheme="minorEastAsia"/>
                <w:sz w:val="21"/>
                <w:szCs w:val="21"/>
              </w:rPr>
              <w:t>环境和职业健康安全法律法规清单包括国家和北京市的法律法规，共21条，对是否适用进行了评价。综合部组织进行了合规性的评价， 提供了安全合规性评价记录，评价人：魏中华 安媛  于玲 冯福祥 日期：2020.6.10总上所述：公司的所有活动遵守了国家、地方和企业的法律法规及其他要求，无违规行为。</w:t>
            </w:r>
          </w:p>
        </w:tc>
        <w:tc>
          <w:tcPr>
            <w:tcW w:w="58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szCs w:val="22"/>
              </w:rPr>
            </w:pPr>
            <w:r>
              <w:rPr>
                <w:rFonts w:hint="eastAsia"/>
                <w:szCs w:val="22"/>
              </w:rPr>
              <w:t>管理目标及其实现的策划</w:t>
            </w:r>
          </w:p>
          <w:p>
            <w:pPr>
              <w:rPr>
                <w:rFonts w:hint="eastAsia"/>
                <w:szCs w:val="22"/>
              </w:rPr>
            </w:pPr>
          </w:p>
        </w:tc>
        <w:tc>
          <w:tcPr>
            <w:tcW w:w="960" w:type="dxa"/>
            <w:vAlign w:val="top"/>
          </w:tcPr>
          <w:p>
            <w:pPr>
              <w:rPr>
                <w:rFonts w:hint="eastAsia"/>
                <w:szCs w:val="22"/>
              </w:rPr>
            </w:pPr>
            <w:r>
              <w:rPr>
                <w:rFonts w:hint="eastAsia"/>
                <w:szCs w:val="22"/>
              </w:rPr>
              <w:t>QEO6.2</w:t>
            </w:r>
          </w:p>
          <w:p/>
        </w:tc>
        <w:tc>
          <w:tcPr>
            <w:tcW w:w="11008" w:type="dxa"/>
            <w:vAlign w:val="center"/>
          </w:tcPr>
          <w:p>
            <w:pPr>
              <w:rPr>
                <w:rFonts w:hint="eastAsia"/>
                <w:szCs w:val="22"/>
              </w:rPr>
            </w:pPr>
            <w:r>
              <w:rPr>
                <w:rFonts w:hint="eastAsia"/>
                <w:szCs w:val="22"/>
              </w:rPr>
              <w:t>公司对管理体系所需的相关职能、层次和过程设定管理目标。</w:t>
            </w:r>
          </w:p>
          <w:p>
            <w:pPr>
              <w:rPr>
                <w:rFonts w:hint="eastAsia"/>
                <w:szCs w:val="22"/>
              </w:rPr>
            </w:pPr>
            <w:r>
              <w:rPr>
                <w:rFonts w:hint="eastAsia"/>
                <w:szCs w:val="22"/>
              </w:rPr>
              <w:t>公司管理目标是：</w:t>
            </w:r>
          </w:p>
          <w:p>
            <w:pPr>
              <w:rPr>
                <w:rFonts w:hint="eastAsia"/>
                <w:szCs w:val="22"/>
              </w:rPr>
            </w:pPr>
            <w:r>
              <w:rPr>
                <w:rFonts w:hint="eastAsia"/>
                <w:szCs w:val="22"/>
              </w:rPr>
              <w:t>1）销售产品合格率98%；</w:t>
            </w:r>
          </w:p>
          <w:p>
            <w:pPr>
              <w:rPr>
                <w:rFonts w:hint="eastAsia"/>
                <w:szCs w:val="22"/>
              </w:rPr>
            </w:pPr>
            <w:r>
              <w:rPr>
                <w:rFonts w:hint="eastAsia"/>
                <w:szCs w:val="22"/>
              </w:rPr>
              <w:t>2）产品交付及时率98%；</w:t>
            </w:r>
          </w:p>
          <w:p>
            <w:pPr>
              <w:rPr>
                <w:rFonts w:hint="eastAsia"/>
                <w:szCs w:val="22"/>
              </w:rPr>
            </w:pPr>
            <w:r>
              <w:rPr>
                <w:rFonts w:hint="eastAsia"/>
                <w:szCs w:val="22"/>
              </w:rPr>
              <w:t>3）合同评审率100%；</w:t>
            </w:r>
          </w:p>
          <w:p>
            <w:pPr>
              <w:rPr>
                <w:rFonts w:hint="eastAsia"/>
                <w:szCs w:val="22"/>
              </w:rPr>
            </w:pPr>
            <w:r>
              <w:rPr>
                <w:rFonts w:hint="eastAsia"/>
                <w:szCs w:val="22"/>
              </w:rPr>
              <w:t>4）顾客满意率98%以上</w:t>
            </w:r>
          </w:p>
          <w:p>
            <w:pPr>
              <w:rPr>
                <w:rFonts w:hint="eastAsia"/>
                <w:szCs w:val="22"/>
              </w:rPr>
            </w:pPr>
            <w:r>
              <w:rPr>
                <w:rFonts w:hint="eastAsia"/>
                <w:szCs w:val="22"/>
              </w:rPr>
              <w:t>5)</w:t>
            </w:r>
            <w:r>
              <w:rPr>
                <w:rFonts w:hint="eastAsia"/>
                <w:szCs w:val="22"/>
                <w:lang w:val="en-US" w:eastAsia="zh-CN"/>
              </w:rPr>
              <w:t xml:space="preserve"> </w:t>
            </w:r>
            <w:r>
              <w:rPr>
                <w:rFonts w:hint="eastAsia"/>
                <w:szCs w:val="22"/>
              </w:rPr>
              <w:t>固体废弃物100%分类，合理处理；</w:t>
            </w:r>
          </w:p>
          <w:p>
            <w:pPr>
              <w:rPr>
                <w:rFonts w:hint="eastAsia"/>
                <w:szCs w:val="22"/>
              </w:rPr>
            </w:pPr>
            <w:r>
              <w:rPr>
                <w:rFonts w:hint="eastAsia"/>
                <w:szCs w:val="22"/>
              </w:rPr>
              <w:t>6）环境污染事故发生率为零</w:t>
            </w:r>
          </w:p>
          <w:p>
            <w:pPr>
              <w:rPr>
                <w:rFonts w:hint="eastAsia"/>
                <w:szCs w:val="22"/>
              </w:rPr>
            </w:pPr>
            <w:r>
              <w:rPr>
                <w:rFonts w:hint="eastAsia"/>
                <w:szCs w:val="22"/>
              </w:rPr>
              <w:t xml:space="preserve">7）各类重伤以上事故发生率为零； </w:t>
            </w:r>
          </w:p>
          <w:p>
            <w:pPr>
              <w:rPr>
                <w:rFonts w:hint="eastAsia"/>
                <w:szCs w:val="22"/>
              </w:rPr>
            </w:pPr>
            <w:r>
              <w:rPr>
                <w:rFonts w:hint="eastAsia"/>
                <w:szCs w:val="22"/>
              </w:rPr>
              <w:t>8）火灾事故发生率为零。</w:t>
            </w:r>
          </w:p>
          <w:p>
            <w:pPr>
              <w:rPr>
                <w:rFonts w:hint="eastAsia"/>
                <w:szCs w:val="22"/>
              </w:rPr>
            </w:pPr>
            <w:r>
              <w:rPr>
                <w:rFonts w:hint="eastAsia"/>
                <w:szCs w:val="22"/>
              </w:rPr>
              <w:t>目标可测量，与公司管理方针一致。</w:t>
            </w:r>
          </w:p>
          <w:p>
            <w:pPr>
              <w:rPr>
                <w:rFonts w:hint="eastAsia"/>
                <w:szCs w:val="22"/>
              </w:rPr>
            </w:pPr>
            <w:r>
              <w:rPr>
                <w:rFonts w:hint="eastAsia"/>
                <w:szCs w:val="22"/>
              </w:rPr>
              <w:t>责任部门实施管理方案相关要求；监控部门在方案完成的规定时限内，对执行及完成情况进行检查。具体执行《环境因素识别与评价控制程序》和《职业健康安全绩效测量和监视管理程序》。</w:t>
            </w:r>
          </w:p>
          <w:p>
            <w:pPr>
              <w:rPr>
                <w:rFonts w:hint="eastAsia"/>
                <w:szCs w:val="22"/>
              </w:rPr>
            </w:pPr>
            <w:r>
              <w:rPr>
                <w:rFonts w:hint="eastAsia"/>
                <w:szCs w:val="22"/>
              </w:rPr>
              <w:t>责任部门实施管理方案相关要求；监控部门在方案完成的规定时限内，对执行及完成情况进行检查。具体执行《环境因素识别与评价控制程序》和《职业健康安全绩效测量和监视管理程序》。。</w:t>
            </w:r>
          </w:p>
        </w:tc>
        <w:tc>
          <w:tcPr>
            <w:tcW w:w="58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szCs w:val="22"/>
              </w:rPr>
            </w:pPr>
            <w:r>
              <w:rPr>
                <w:rFonts w:hint="eastAsia"/>
                <w:szCs w:val="22"/>
              </w:rPr>
              <w:t>资源、总则</w:t>
            </w:r>
          </w:p>
          <w:p>
            <w:pPr>
              <w:rPr>
                <w:rFonts w:hint="eastAsia"/>
                <w:szCs w:val="22"/>
              </w:rPr>
            </w:pPr>
          </w:p>
        </w:tc>
        <w:tc>
          <w:tcPr>
            <w:tcW w:w="960" w:type="dxa"/>
            <w:vAlign w:val="top"/>
          </w:tcPr>
          <w:p>
            <w:pPr>
              <w:rPr>
                <w:rFonts w:hint="eastAsia"/>
                <w:szCs w:val="22"/>
              </w:rPr>
            </w:pPr>
            <w:r>
              <w:rPr>
                <w:rFonts w:hint="eastAsia"/>
                <w:szCs w:val="22"/>
              </w:rPr>
              <w:t>QEO7.1</w:t>
            </w:r>
          </w:p>
          <w:p/>
        </w:tc>
        <w:tc>
          <w:tcPr>
            <w:tcW w:w="11008" w:type="dxa"/>
            <w:vAlign w:val="center"/>
          </w:tcPr>
          <w:p>
            <w:pPr>
              <w:rPr>
                <w:rFonts w:hint="eastAsia"/>
                <w:szCs w:val="22"/>
              </w:rPr>
            </w:pPr>
            <w:r>
              <w:rPr>
                <w:rFonts w:hint="eastAsia"/>
                <w:szCs w:val="22"/>
              </w:rPr>
              <w:t>查公司配备了必要的人力资源，基础设施，规范文件、资金等必要的资源，能够持续满足顾客需求和管理体系改进的需要。</w:t>
            </w:r>
          </w:p>
          <w:p>
            <w:pPr>
              <w:rPr>
                <w:rFonts w:hint="eastAsia"/>
                <w:szCs w:val="22"/>
              </w:rPr>
            </w:pPr>
            <w:r>
              <w:rPr>
                <w:rFonts w:hint="eastAsia"/>
                <w:szCs w:val="22"/>
              </w:rPr>
              <w:t>部门：销售部、综合部</w:t>
            </w:r>
          </w:p>
          <w:p>
            <w:pPr>
              <w:rPr>
                <w:rFonts w:hint="eastAsia"/>
                <w:szCs w:val="22"/>
              </w:rPr>
            </w:pPr>
            <w:r>
              <w:rPr>
                <w:rFonts w:hint="eastAsia"/>
                <w:szCs w:val="22"/>
              </w:rPr>
              <w:t>人员：办公人员、销售人员、财务人员、库管人员</w:t>
            </w:r>
          </w:p>
          <w:p>
            <w:pPr>
              <w:spacing w:line="240" w:lineRule="exact"/>
              <w:rPr>
                <w:rFonts w:ascii="宋体" w:hAnsi="宋体"/>
                <w:b/>
                <w:color w:val="auto"/>
                <w:sz w:val="20"/>
                <w:szCs w:val="20"/>
              </w:rPr>
            </w:pPr>
            <w:r>
              <w:rPr>
                <w:rFonts w:hint="eastAsia"/>
                <w:szCs w:val="22"/>
              </w:rPr>
              <w:t>办公设备：</w:t>
            </w:r>
            <w:r>
              <w:rPr>
                <w:rFonts w:hint="eastAsia" w:ascii="宋体" w:hAnsi="宋体" w:eastAsia="宋体" w:cs="宋体"/>
                <w:b w:val="0"/>
                <w:bCs/>
                <w:color w:val="auto"/>
                <w:sz w:val="21"/>
                <w:szCs w:val="21"/>
                <w:lang w:val="en-US" w:eastAsia="zh-CN"/>
              </w:rPr>
              <w:t>销售信息登记电脑、仓库或货架、</w:t>
            </w:r>
            <w:r>
              <w:rPr>
                <w:rFonts w:hint="eastAsia"/>
                <w:color w:val="auto"/>
              </w:rPr>
              <w:t>监控设备、</w:t>
            </w:r>
            <w:r>
              <w:rPr>
                <w:rFonts w:hint="eastAsia" w:ascii="宋体" w:hAnsi="宋体" w:eastAsia="宋体" w:cs="宋体"/>
                <w:b w:val="0"/>
                <w:bCs/>
                <w:color w:val="auto"/>
                <w:sz w:val="21"/>
                <w:szCs w:val="21"/>
                <w:lang w:val="en-US" w:eastAsia="zh-CN"/>
              </w:rPr>
              <w:t>小推车、收款设备、监视设备</w:t>
            </w:r>
            <w:r>
              <w:rPr>
                <w:rFonts w:hint="eastAsia"/>
                <w:color w:val="auto"/>
              </w:rPr>
              <w:t>、</w:t>
            </w:r>
            <w:r>
              <w:rPr>
                <w:color w:val="auto"/>
              </w:rPr>
              <w:t>打印机</w:t>
            </w:r>
            <w:r>
              <w:rPr>
                <w:rFonts w:hint="eastAsia"/>
                <w:color w:val="auto"/>
              </w:rPr>
              <w:t>、复印机、办公桌椅等</w:t>
            </w:r>
            <w:r>
              <w:rPr>
                <w:rFonts w:hint="eastAsia" w:ascii="宋体" w:hAnsi="宋体" w:eastAsia="宋体" w:cs="宋体"/>
                <w:b w:val="0"/>
                <w:bCs/>
                <w:color w:val="auto"/>
                <w:sz w:val="21"/>
                <w:szCs w:val="21"/>
                <w:lang w:val="en-US" w:eastAsia="zh-CN"/>
              </w:rPr>
              <w:t>。</w:t>
            </w:r>
          </w:p>
          <w:p>
            <w:pPr>
              <w:rPr>
                <w:rFonts w:hint="eastAsia"/>
                <w:szCs w:val="22"/>
              </w:rPr>
            </w:pPr>
            <w:r>
              <w:rPr>
                <w:rFonts w:hint="eastAsia"/>
                <w:szCs w:val="22"/>
              </w:rPr>
              <w:t>环保设备：垃圾桶、灭火器</w:t>
            </w:r>
          </w:p>
          <w:p>
            <w:pPr>
              <w:rPr>
                <w:rFonts w:hint="eastAsia"/>
                <w:szCs w:val="22"/>
              </w:rPr>
            </w:pPr>
            <w:r>
              <w:rPr>
                <w:rFonts w:hint="eastAsia"/>
                <w:szCs w:val="22"/>
              </w:rPr>
              <w:t>消防设施：消防栓、灭火器等</w:t>
            </w:r>
          </w:p>
        </w:tc>
        <w:tc>
          <w:tcPr>
            <w:tcW w:w="58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szCs w:val="22"/>
              </w:rPr>
            </w:pPr>
            <w:r>
              <w:rPr>
                <w:rFonts w:hint="eastAsia" w:asciiTheme="minorEastAsia" w:hAnsiTheme="minorEastAsia" w:eastAsiaTheme="minorEastAsia" w:cstheme="minorEastAsia"/>
                <w:sz w:val="21"/>
                <w:szCs w:val="21"/>
              </w:rPr>
              <w:t>组织的知识、文件化信息</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Q7.1.6</w:t>
            </w:r>
          </w:p>
          <w:p>
            <w:pPr>
              <w:pStyle w:val="11"/>
              <w:rPr>
                <w:rFonts w:hint="eastAsia" w:asciiTheme="minorEastAsia" w:hAnsiTheme="minorEastAsia" w:eastAsiaTheme="minorEastAsia" w:cstheme="minorEastAsia"/>
                <w:bCs w:val="0"/>
                <w:spacing w:val="0"/>
                <w:sz w:val="21"/>
                <w:szCs w:val="21"/>
              </w:rPr>
            </w:pPr>
            <w:r>
              <w:rPr>
                <w:rFonts w:hint="eastAsia" w:asciiTheme="minorEastAsia" w:hAnsiTheme="minorEastAsia" w:eastAsiaTheme="minorEastAsia" w:cstheme="minorEastAsia"/>
                <w:bCs w:val="0"/>
                <w:spacing w:val="0"/>
                <w:sz w:val="21"/>
                <w:szCs w:val="21"/>
              </w:rPr>
              <w:t>EO7.1</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QEO7.5</w:t>
            </w:r>
          </w:p>
          <w:p>
            <w:pPr>
              <w:pStyle w:val="11"/>
            </w:pPr>
          </w:p>
        </w:tc>
        <w:tc>
          <w:tcPr>
            <w:tcW w:w="11008" w:type="dxa"/>
            <w:vAlign w:val="center"/>
          </w:tcPr>
          <w:p>
            <w:pPr>
              <w:ind w:firstLine="420" w:firstLineChars="200"/>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受审核方建立的管理体系文件包括：</w:t>
            </w:r>
          </w:p>
          <w:p>
            <w:pPr>
              <w:pStyle w:val="1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1.管理手册ZXSL-SC-A/0-2020 A/0版，发布时间：2020年3月10日实施时间：2020年3月10日</w:t>
            </w:r>
          </w:p>
          <w:p>
            <w:pPr>
              <w:pStyle w:val="11"/>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2.程序文件ZXSL -CX -A/0-2020  A/0版含24个文件，包括标准要求的形成文件的信息。</w:t>
            </w:r>
          </w:p>
          <w:p>
            <w:pPr>
              <w:pStyle w:val="1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3.管理制度汇编：质量管理制度、销售管理制度等10个</w:t>
            </w:r>
          </w:p>
          <w:p>
            <w:pPr>
              <w:rPr>
                <w:rFonts w:hint="eastAsia" w:asciiTheme="minorEastAsia" w:hAnsiTheme="minorEastAsia" w:eastAsiaTheme="minorEastAsia" w:cstheme="minorEastAsia"/>
                <w:color w:val="000000" w:themeColor="text1"/>
                <w:sz w:val="21"/>
                <w:szCs w:val="21"/>
              </w:rPr>
            </w:pPr>
            <w:r>
              <w:rPr>
                <w:rFonts w:hint="eastAsia" w:asciiTheme="minorEastAsia" w:hAnsiTheme="minorEastAsia" w:eastAsiaTheme="minorEastAsia" w:cstheme="minorEastAsia"/>
                <w:color w:val="000000" w:themeColor="text1"/>
                <w:sz w:val="21"/>
                <w:szCs w:val="21"/>
              </w:rPr>
              <w:t>4.体系运行所需要的文件和记录</w:t>
            </w:r>
          </w:p>
          <w:p>
            <w:pPr>
              <w:ind w:firstLine="420" w:firstLineChars="200"/>
              <w:rPr>
                <w:rFonts w:hint="eastAsia"/>
                <w:szCs w:val="22"/>
              </w:rPr>
            </w:pPr>
            <w:r>
              <w:rPr>
                <w:rFonts w:hint="eastAsia" w:asciiTheme="minorEastAsia" w:hAnsiTheme="minorEastAsia" w:eastAsiaTheme="minorEastAsia" w:cstheme="minorEastAsia"/>
                <w:sz w:val="21"/>
                <w:szCs w:val="21"/>
              </w:rPr>
              <w:t>介绍：尚未有销毁记录，若有由综合部组织进行。</w:t>
            </w:r>
          </w:p>
        </w:tc>
        <w:tc>
          <w:tcPr>
            <w:tcW w:w="58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21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应急准备和响应</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EO8.2</w:t>
            </w:r>
          </w:p>
          <w:p/>
        </w:tc>
        <w:tc>
          <w:tcPr>
            <w:tcW w:w="11008" w:type="dxa"/>
            <w:vAlign w:val="center"/>
          </w:tcPr>
          <w:p>
            <w:pPr>
              <w:ind w:firstLine="420" w:firstLineChars="2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bCs/>
                <w:sz w:val="21"/>
                <w:szCs w:val="21"/>
              </w:rPr>
              <w:t>制定了</w:t>
            </w:r>
            <w:r>
              <w:rPr>
                <w:rFonts w:hint="eastAsia" w:asciiTheme="minorEastAsia" w:hAnsiTheme="minorEastAsia" w:eastAsiaTheme="minorEastAsia" w:cstheme="minorEastAsia"/>
                <w:sz w:val="21"/>
                <w:szCs w:val="21"/>
              </w:rPr>
              <w:t>ZXSL -CX-8.2-20</w:t>
            </w:r>
            <w:r>
              <w:rPr>
                <w:rFonts w:hint="eastAsia" w:asciiTheme="minorEastAsia" w:hAnsiTheme="minorEastAsia" w:eastAsiaTheme="minorEastAsia" w:cstheme="minorEastAsia"/>
                <w:bCs/>
                <w:sz w:val="21"/>
                <w:szCs w:val="21"/>
              </w:rPr>
              <w:t>《应急准备与响应管理程序》，</w:t>
            </w:r>
            <w:r>
              <w:rPr>
                <w:rFonts w:hint="eastAsia" w:asciiTheme="minorEastAsia" w:hAnsiTheme="minorEastAsia" w:eastAsiaTheme="minorEastAsia" w:cstheme="minorEastAsia"/>
                <w:sz w:val="21"/>
                <w:szCs w:val="21"/>
              </w:rPr>
              <w:t>提供了火灾应急处理预案，编制冯福祥，编制日期为2020年3月10日。</w:t>
            </w:r>
            <w:r>
              <w:rPr>
                <w:rFonts w:hint="eastAsia" w:asciiTheme="minorEastAsia" w:hAnsiTheme="minorEastAsia" w:eastAsiaTheme="minorEastAsia" w:cstheme="minorEastAsia"/>
                <w:sz w:val="21"/>
                <w:szCs w:val="21"/>
                <w:lang w:eastAsia="zh-CN"/>
              </w:rPr>
              <w:t>详见二阶段记录</w:t>
            </w:r>
          </w:p>
        </w:tc>
        <w:tc>
          <w:tcPr>
            <w:tcW w:w="58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szCs w:val="22"/>
              </w:rPr>
            </w:pPr>
            <w:r>
              <w:rPr>
                <w:rFonts w:hint="eastAsia" w:asciiTheme="minorEastAsia" w:hAnsiTheme="minorEastAsia" w:eastAsiaTheme="minorEastAsia" w:cstheme="minorEastAsia"/>
                <w:sz w:val="21"/>
                <w:szCs w:val="21"/>
              </w:rPr>
              <w:t>内部审核</w:t>
            </w:r>
          </w:p>
        </w:tc>
        <w:tc>
          <w:tcPr>
            <w:tcW w:w="960" w:type="dxa"/>
            <w:vAlign w:val="center"/>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QEO9.2</w:t>
            </w:r>
          </w:p>
          <w:p/>
        </w:tc>
        <w:tc>
          <w:tcPr>
            <w:tcW w:w="11008" w:type="dxa"/>
            <w:vAlign w:val="center"/>
          </w:tcPr>
          <w:p>
            <w:pPr>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见</w:t>
            </w:r>
            <w:r>
              <w:rPr>
                <w:rFonts w:hint="eastAsia" w:asciiTheme="minorEastAsia" w:hAnsiTheme="minorEastAsia" w:eastAsiaTheme="minorEastAsia" w:cstheme="minorEastAsia"/>
                <w:sz w:val="21"/>
                <w:szCs w:val="21"/>
              </w:rPr>
              <w:t>《内部审核控制程序》，对内部审核方案策划规定</w:t>
            </w:r>
            <w:r>
              <w:rPr>
                <w:rFonts w:hint="eastAsia" w:asciiTheme="minorEastAsia" w:hAnsiTheme="minorEastAsia" w:eastAsiaTheme="minorEastAsia" w:cstheme="minorEastAsia"/>
                <w:sz w:val="21"/>
                <w:szCs w:val="21"/>
                <w:lang w:val="en-US" w:eastAsia="zh-CN"/>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提供了《2020年内部审核实施计划》，计划内容有：目的、范围、审核准则，审核时间</w:t>
            </w:r>
            <w:r>
              <w:rPr>
                <w:rFonts w:hint="eastAsia" w:asciiTheme="minorEastAsia" w:hAnsiTheme="minorEastAsia" w:eastAsiaTheme="minorEastAsia" w:cstheme="minorEastAsia"/>
                <w:color w:val="000000"/>
                <w:sz w:val="21"/>
                <w:szCs w:val="21"/>
              </w:rPr>
              <w:t>2020年6月10日</w:t>
            </w:r>
            <w:r>
              <w:rPr>
                <w:rFonts w:hint="eastAsia" w:asciiTheme="minorEastAsia" w:hAnsiTheme="minorEastAsia" w:eastAsiaTheme="minorEastAsia" w:cstheme="minorEastAsia"/>
                <w:sz w:val="21"/>
                <w:szCs w:val="21"/>
              </w:rPr>
              <w:t>。</w:t>
            </w:r>
          </w:p>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查阅2020年度内部审核有关记录</w:t>
            </w:r>
          </w:p>
          <w:p>
            <w:pPr>
              <w:autoSpaceDE w:val="0"/>
              <w:autoSpaceDN w:val="0"/>
              <w:adjustRightInd w:val="0"/>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审核结论：本公司依据GB/T19001-2016idtISO9001:2015标准，GB/T24001-2016idtISO14001:2015标准，ISO45001:2018标准所建立的管理体系符合标准的要求。本次内审中开列的不符合项均由责任部门人认真采取纠正措施整改并由内审员验证合格。</w:t>
            </w:r>
          </w:p>
          <w:p>
            <w:pPr>
              <w:rPr>
                <w:rFonts w:hint="eastAsia"/>
                <w:szCs w:val="22"/>
              </w:rPr>
            </w:pPr>
            <w:r>
              <w:rPr>
                <w:rFonts w:hint="eastAsia" w:asciiTheme="minorEastAsia" w:hAnsiTheme="minorEastAsia" w:eastAsiaTheme="minorEastAsia" w:cstheme="minorEastAsia"/>
                <w:sz w:val="21"/>
                <w:szCs w:val="21"/>
              </w:rPr>
              <w:t>提供了内审员授权书，审核员没有审核自己部门工作，具有独立性。</w:t>
            </w:r>
          </w:p>
        </w:tc>
        <w:tc>
          <w:tcPr>
            <w:tcW w:w="58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rPr>
                <w:rFonts w:hint="eastAsia"/>
                <w:szCs w:val="22"/>
              </w:rPr>
            </w:pPr>
            <w:r>
              <w:rPr>
                <w:rFonts w:hint="eastAsia"/>
                <w:szCs w:val="22"/>
              </w:rPr>
              <w:t>管理评审</w:t>
            </w:r>
          </w:p>
          <w:p>
            <w:pPr>
              <w:rPr>
                <w:rFonts w:hint="eastAsia"/>
                <w:szCs w:val="22"/>
              </w:rPr>
            </w:pPr>
          </w:p>
        </w:tc>
        <w:tc>
          <w:tcPr>
            <w:tcW w:w="960" w:type="dxa"/>
            <w:vAlign w:val="top"/>
          </w:tcPr>
          <w:p>
            <w:pPr>
              <w:rPr>
                <w:rFonts w:hint="eastAsia"/>
                <w:szCs w:val="22"/>
              </w:rPr>
            </w:pPr>
            <w:r>
              <w:rPr>
                <w:rFonts w:hint="eastAsia"/>
                <w:szCs w:val="22"/>
              </w:rPr>
              <w:t>QEO</w:t>
            </w:r>
          </w:p>
          <w:p>
            <w:pPr>
              <w:rPr>
                <w:rFonts w:hint="eastAsia"/>
                <w:szCs w:val="22"/>
              </w:rPr>
            </w:pPr>
            <w:r>
              <w:rPr>
                <w:rFonts w:hint="eastAsia"/>
                <w:szCs w:val="22"/>
              </w:rPr>
              <w:t>9.3</w:t>
            </w:r>
          </w:p>
          <w:p>
            <w:pPr>
              <w:rPr>
                <w:rFonts w:hint="eastAsia"/>
                <w:szCs w:val="22"/>
              </w:rPr>
            </w:pPr>
          </w:p>
          <w:p>
            <w:pPr>
              <w:rPr>
                <w:rFonts w:hint="eastAsia"/>
                <w:szCs w:val="22"/>
              </w:rPr>
            </w:pPr>
          </w:p>
          <w:p/>
        </w:tc>
        <w:tc>
          <w:tcPr>
            <w:tcW w:w="11008" w:type="dxa"/>
            <w:vAlign w:val="center"/>
          </w:tcPr>
          <w:p>
            <w:pPr>
              <w:rPr>
                <w:rFonts w:hint="eastAsia"/>
                <w:szCs w:val="22"/>
              </w:rPr>
            </w:pPr>
            <w:r>
              <w:rPr>
                <w:rFonts w:hint="eastAsia"/>
                <w:szCs w:val="22"/>
              </w:rPr>
              <w:t>提供：</w:t>
            </w:r>
          </w:p>
          <w:p>
            <w:pPr>
              <w:rPr>
                <w:rFonts w:hint="eastAsia"/>
                <w:szCs w:val="22"/>
              </w:rPr>
            </w:pPr>
            <w:r>
              <w:rPr>
                <w:rFonts w:hint="eastAsia"/>
                <w:szCs w:val="22"/>
              </w:rPr>
              <w:t>1.管理评审计划，</w:t>
            </w:r>
          </w:p>
          <w:p>
            <w:pPr>
              <w:rPr>
                <w:rFonts w:hint="eastAsia"/>
                <w:szCs w:val="22"/>
              </w:rPr>
            </w:pPr>
            <w:r>
              <w:rPr>
                <w:rFonts w:hint="eastAsia"/>
                <w:szCs w:val="22"/>
              </w:rPr>
              <w:t>评审时间：计划2020.</w:t>
            </w:r>
            <w:r>
              <w:rPr>
                <w:rFonts w:hint="eastAsia"/>
                <w:szCs w:val="22"/>
                <w:lang w:val="en-US" w:eastAsia="zh-CN"/>
              </w:rPr>
              <w:t>6</w:t>
            </w:r>
            <w:r>
              <w:rPr>
                <w:rFonts w:hint="eastAsia"/>
                <w:szCs w:val="22"/>
              </w:rPr>
              <w:t>.20进行，评审方式：会议评审，</w:t>
            </w:r>
          </w:p>
          <w:p>
            <w:pPr>
              <w:rPr>
                <w:rFonts w:hint="eastAsia"/>
                <w:szCs w:val="22"/>
                <w:lang w:val="en-US" w:eastAsia="zh-CN"/>
              </w:rPr>
            </w:pPr>
            <w:r>
              <w:rPr>
                <w:rFonts w:hint="eastAsia"/>
                <w:szCs w:val="22"/>
              </w:rPr>
              <w:t>编制：冯福祥    批准：魏中华  日期： 2020.</w:t>
            </w:r>
            <w:r>
              <w:rPr>
                <w:rFonts w:hint="eastAsia"/>
                <w:szCs w:val="22"/>
                <w:lang w:val="en-US" w:eastAsia="zh-CN"/>
              </w:rPr>
              <w:t>6</w:t>
            </w:r>
            <w:r>
              <w:rPr>
                <w:rFonts w:hint="eastAsia"/>
                <w:szCs w:val="22"/>
              </w:rPr>
              <w:t>.</w:t>
            </w:r>
            <w:r>
              <w:rPr>
                <w:rFonts w:hint="eastAsia"/>
                <w:szCs w:val="22"/>
                <w:lang w:val="en-US" w:eastAsia="zh-CN"/>
              </w:rPr>
              <w:t>8</w:t>
            </w:r>
          </w:p>
          <w:p>
            <w:pPr>
              <w:rPr>
                <w:rFonts w:hint="eastAsia" w:eastAsia="宋体"/>
                <w:szCs w:val="22"/>
                <w:lang w:val="en-US" w:eastAsia="zh-CN"/>
              </w:rPr>
            </w:pPr>
            <w:r>
              <w:rPr>
                <w:rFonts w:hint="eastAsia"/>
                <w:szCs w:val="22"/>
              </w:rPr>
              <w:t>管理评审结论</w:t>
            </w:r>
            <w:r>
              <w:rPr>
                <w:rFonts w:hint="eastAsia"/>
                <w:szCs w:val="22"/>
                <w:lang w:eastAsia="zh-CN"/>
              </w:rPr>
              <w:t>：</w:t>
            </w:r>
            <w:r>
              <w:rPr>
                <w:rFonts w:hint="eastAsia"/>
                <w:szCs w:val="22"/>
              </w:rPr>
              <w:t>公司的质量/环境/安全管理体系基本符合GB/T19001-2016 idt ISO9001:2015、GB/T24001-2016 idt ISO14001:2015、GB/T45001-2020/ISO45001:2018标准和本公司质量/环境/安全管理体系文件的要求</w:t>
            </w:r>
            <w:r>
              <w:rPr>
                <w:rFonts w:hint="eastAsia"/>
                <w:szCs w:val="22"/>
                <w:lang w:val="en-US" w:eastAsia="zh-CN"/>
              </w:rPr>
              <w:t>.</w:t>
            </w:r>
          </w:p>
        </w:tc>
        <w:tc>
          <w:tcPr>
            <w:tcW w:w="581" w:type="dxa"/>
          </w:tcPr>
          <w:p/>
        </w:tc>
      </w:tr>
    </w:tbl>
    <w:p>
      <w:r>
        <w:ptab w:relativeTo="margin" w:alignment="center" w:leader="none"/>
      </w:r>
    </w:p>
    <w:p/>
    <w:p>
      <w:pPr>
        <w:pStyle w:val="4"/>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2"/>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0"/>
        <w:rFonts w:hint="default"/>
        <w:w w:val="90"/>
      </w:rPr>
      <w:t>Beijing International Standard united Certification Co.,Ltd.</w:t>
    </w:r>
  </w:p>
  <w:p>
    <w:pPr>
      <w:pStyle w:val="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470205"/>
    <w:rsid w:val="018F3BA9"/>
    <w:rsid w:val="074801FF"/>
    <w:rsid w:val="161F6213"/>
    <w:rsid w:val="24D506CC"/>
    <w:rsid w:val="342043CF"/>
    <w:rsid w:val="36E102A1"/>
    <w:rsid w:val="37B34675"/>
    <w:rsid w:val="3B553013"/>
    <w:rsid w:val="3F625868"/>
    <w:rsid w:val="3FB17D8F"/>
    <w:rsid w:val="428B4064"/>
    <w:rsid w:val="4AB6179B"/>
    <w:rsid w:val="4C823F73"/>
    <w:rsid w:val="5E281500"/>
    <w:rsid w:val="63784D15"/>
    <w:rsid w:val="693B1E27"/>
    <w:rsid w:val="69BD4D8A"/>
    <w:rsid w:val="7725452A"/>
    <w:rsid w:val="77636347"/>
    <w:rsid w:val="7A743F4D"/>
    <w:rsid w:val="7C5D6530"/>
    <w:rsid w:val="7C9673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9"/>
    <w:semiHidden/>
    <w:unhideWhenUsed/>
    <w:qFormat/>
    <w:uiPriority w:val="99"/>
    <w:rPr>
      <w:sz w:val="18"/>
      <w:szCs w:val="18"/>
    </w:rPr>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character" w:customStyle="1" w:styleId="7">
    <w:name w:val="页眉 Char"/>
    <w:basedOn w:val="6"/>
    <w:link w:val="2"/>
    <w:qFormat/>
    <w:uiPriority w:val="99"/>
    <w:rPr>
      <w:rFonts w:ascii="Times New Roman" w:hAnsi="Times New Roman" w:eastAsia="宋体" w:cs="Times New Roman"/>
      <w:sz w:val="18"/>
      <w:szCs w:val="18"/>
    </w:rPr>
  </w:style>
  <w:style w:type="character" w:customStyle="1" w:styleId="8">
    <w:name w:val="页脚 Char"/>
    <w:basedOn w:val="6"/>
    <w:link w:val="4"/>
    <w:qFormat/>
    <w:uiPriority w:val="99"/>
    <w:rPr>
      <w:rFonts w:ascii="Times New Roman" w:hAnsi="Times New Roman" w:eastAsia="宋体" w:cs="Times New Roman"/>
      <w:sz w:val="18"/>
      <w:szCs w:val="18"/>
    </w:rPr>
  </w:style>
  <w:style w:type="character" w:customStyle="1" w:styleId="9">
    <w:name w:val="批注框文本 Char"/>
    <w:basedOn w:val="6"/>
    <w:link w:val="3"/>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customStyle="1" w:styleId="11">
    <w:name w:val="表格文字"/>
    <w:basedOn w:val="1"/>
    <w:uiPriority w:val="0"/>
    <w:pPr>
      <w:spacing w:before="25" w:after="25"/>
    </w:pPr>
    <w:rPr>
      <w:rFonts w:ascii="Times New Roman" w:hAnsi="Times New Roman" w:eastAsia="宋体" w:cs="Times New Roman"/>
      <w:bCs/>
      <w:spacing w:val="1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0</TotalTime>
  <ScaleCrop>false</ScaleCrop>
  <LinksUpToDate>false</LinksUpToDate>
  <CharactersWithSpaces>100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2020-08-27T03:23:07Z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