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6" w:name="_GoBack"/>
      <w:r>
        <w:rPr>
          <w:rFonts w:hint="eastAsia" w:eastAsia="宋体"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-579755</wp:posOffset>
            </wp:positionV>
            <wp:extent cx="6687820" cy="9946640"/>
            <wp:effectExtent l="0" t="0" r="5080" b="10160"/>
            <wp:wrapNone/>
            <wp:docPr id="3" name="图片 3" descr="img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2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7820" cy="994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6"/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217"/>
        <w:gridCol w:w="1025"/>
        <w:gridCol w:w="176"/>
        <w:gridCol w:w="149"/>
        <w:gridCol w:w="440"/>
        <w:gridCol w:w="430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陕西圣瑞家具有限责任公司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t>陕西省西安市碑林区金花北路中段副9号11幢1号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杨如春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13379228667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711200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4" w:name="最高管理者"/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0400-2020-E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8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钢、木质家具（课桌椅、架子床、餐桌、排椅、公寓床、文件柜、办公桌椅、电脑桌、休闲桌椅、屏风工作位）的销售及相关环境管理活动</w:t>
            </w:r>
            <w:bookmarkEnd w:id="12"/>
          </w:p>
        </w:tc>
        <w:tc>
          <w:tcPr>
            <w:tcW w:w="8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580" w:type="dxa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29.10.05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2020年08月14日 下午至2020年08月14日 下午 (共0.5天)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8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15389253253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姜海军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8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29.10.05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8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22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36830</wp:posOffset>
                  </wp:positionV>
                  <wp:extent cx="311150" cy="246380"/>
                  <wp:effectExtent l="0" t="0" r="6350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2020年08月14日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2020年08月14日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2020年08月14日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2019.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13:00～13:30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spacing w:line="360" w:lineRule="auto"/>
              <w:ind w:firstLine="2891" w:firstLineChars="1200"/>
              <w:jc w:val="both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2019.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总则、7.4信息交流（7.4.1总则、7.4.2内部信息、7.4.3外部信息交流）、9.3管理评审、10.1改进、10.3持续改进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国家/地方监督抽查情况；顾客满意、相关方投诉及处理情况；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验证企业相关资质证明的有效性，一阶段问题验证；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EMS：5.3组织的岗位、职责和权限、6.2环境目标、6.1.2环境因素、8.1运行策划和控制，8.2应急准备和响应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823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EMS: 5.3组织的岗位、职责和权限、7.2能力、7.3意识、7.5.1形成文件的信息总则、7.5.2形成文件的信息的创建和更新、7.5.3形成文件的信息的控制、9.2 内部审核、10.2不合格和纠正措施，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single"/>
              </w:rPr>
              <w:t>6.1.2环境因素、6.1.3合规义务、6.2.1环境目标、6.2.2实现环境目标措施的策划、8.1运行策划和控制、8.2应急准备和响应、9.1监视、测量、分析和评价（9.1.1总则、9.1.2合规性评价）,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209" w:leftChars="87" w:firstLine="0" w:firstLineChars="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 xml:space="preserve">A  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补充及跟踪审核：必要部门、必要条款；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审核组与受审核方领导层沟通；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73D40"/>
    <w:rsid w:val="0C7B144E"/>
    <w:rsid w:val="0E5B2D1E"/>
    <w:rsid w:val="25E42B08"/>
    <w:rsid w:val="271333C3"/>
    <w:rsid w:val="33860400"/>
    <w:rsid w:val="41682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62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2020-08-24T08:37:50Z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