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94"/>
        <w:gridCol w:w="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94" w:type="dxa"/>
            <w:vAlign w:val="center"/>
          </w:tcPr>
          <w:p>
            <w:pPr>
              <w:keepNext w:val="0"/>
              <w:keepLines w:val="0"/>
              <w:widowControl/>
              <w:suppressLineNumbers w:val="0"/>
              <w:jc w:val="left"/>
              <w:rPr>
                <w:sz w:val="24"/>
                <w:szCs w:val="24"/>
              </w:rPr>
            </w:pPr>
            <w:r>
              <w:rPr>
                <w:rFonts w:hint="eastAsia"/>
                <w:sz w:val="24"/>
                <w:szCs w:val="24"/>
              </w:rPr>
              <w:t>受审核部门：</w:t>
            </w:r>
            <w:r>
              <w:rPr>
                <w:rFonts w:hint="eastAsia"/>
                <w:sz w:val="24"/>
                <w:szCs w:val="24"/>
                <w:lang w:eastAsia="zh-CN"/>
              </w:rPr>
              <w:t>技术部</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 xml:space="preserve">  常文礼</w:t>
            </w:r>
            <w:r>
              <w:rPr>
                <w:rFonts w:hint="eastAsia"/>
                <w:sz w:val="24"/>
                <w:szCs w:val="24"/>
              </w:rPr>
              <w:t xml:space="preserve">   陪同人员：</w:t>
            </w:r>
            <w:r>
              <w:rPr>
                <w:rFonts w:hint="eastAsia"/>
                <w:sz w:val="24"/>
                <w:szCs w:val="24"/>
                <w:lang w:val="en-US" w:eastAsia="zh-CN"/>
              </w:rPr>
              <w:t>程宁</w:t>
            </w:r>
          </w:p>
        </w:tc>
        <w:tc>
          <w:tcPr>
            <w:tcW w:w="8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160" w:type="dxa"/>
            <w:vMerge w:val="continue"/>
            <w:vAlign w:val="center"/>
          </w:tcPr>
          <w:p/>
        </w:tc>
        <w:tc>
          <w:tcPr>
            <w:tcW w:w="960" w:type="dxa"/>
            <w:vMerge w:val="continue"/>
            <w:vAlign w:val="center"/>
          </w:tcPr>
          <w:p/>
        </w:tc>
        <w:tc>
          <w:tcPr>
            <w:tcW w:w="10694" w:type="dxa"/>
            <w:vAlign w:val="center"/>
          </w:tcPr>
          <w:p>
            <w:pPr>
              <w:rPr>
                <w:sz w:val="24"/>
                <w:szCs w:val="24"/>
              </w:rPr>
            </w:pPr>
            <w:r>
              <w:rPr>
                <w:rFonts w:hint="eastAsia"/>
                <w:sz w:val="24"/>
                <w:szCs w:val="24"/>
              </w:rPr>
              <w:t>审核员：</w:t>
            </w:r>
            <w:r>
              <w:rPr>
                <w:rFonts w:hint="eastAsia"/>
                <w:sz w:val="24"/>
                <w:szCs w:val="24"/>
                <w:lang w:eastAsia="zh-CN"/>
              </w:rPr>
              <w:t>王志慧</w:t>
            </w:r>
            <w:r>
              <w:rPr>
                <w:rFonts w:hint="eastAsia"/>
                <w:sz w:val="24"/>
                <w:szCs w:val="24"/>
                <w:lang w:val="en-US" w:eastAsia="zh-CN"/>
              </w:rPr>
              <w:t xml:space="preserve">  杨杰(实习)</w:t>
            </w:r>
            <w:r>
              <w:rPr>
                <w:rFonts w:hint="eastAsia"/>
                <w:sz w:val="24"/>
                <w:szCs w:val="24"/>
              </w:rPr>
              <w:t xml:space="preserve">       审核时间：2020年8月</w:t>
            </w:r>
            <w:r>
              <w:rPr>
                <w:rFonts w:hint="eastAsia"/>
                <w:sz w:val="24"/>
                <w:szCs w:val="24"/>
                <w:lang w:val="en-US" w:eastAsia="zh-CN"/>
              </w:rPr>
              <w:t>15</w:t>
            </w:r>
            <w:r>
              <w:rPr>
                <w:rFonts w:hint="eastAsia"/>
                <w:sz w:val="24"/>
                <w:szCs w:val="24"/>
              </w:rPr>
              <w:t>日</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160" w:type="dxa"/>
            <w:vMerge w:val="continue"/>
            <w:vAlign w:val="center"/>
          </w:tcPr>
          <w:p/>
        </w:tc>
        <w:tc>
          <w:tcPr>
            <w:tcW w:w="960" w:type="dxa"/>
            <w:vMerge w:val="continue"/>
            <w:vAlign w:val="center"/>
          </w:tcPr>
          <w:p/>
        </w:tc>
        <w:tc>
          <w:tcPr>
            <w:tcW w:w="10694" w:type="dxa"/>
            <w:vAlign w:val="center"/>
          </w:tcPr>
          <w:p>
            <w:r>
              <w:rPr>
                <w:rFonts w:hint="eastAsia"/>
                <w:sz w:val="24"/>
                <w:szCs w:val="24"/>
              </w:rPr>
              <w:t>审核条款：</w:t>
            </w:r>
            <w:r>
              <w:rPr>
                <w:rFonts w:hint="eastAsia"/>
                <w:sz w:val="24"/>
                <w:szCs w:val="24"/>
                <w:lang w:val="en-US" w:eastAsia="zh-CN"/>
              </w:rPr>
              <w:t>E: 5.3/6.1/6.2/7.5/8.1/8.2    O：5.3/5.4/6.1/6.2/7.5/8.1/8.2</w:t>
            </w:r>
          </w:p>
        </w:tc>
        <w:tc>
          <w:tcPr>
            <w:tcW w:w="8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vAlign w:val="center"/>
          </w:tcPr>
          <w:p>
            <w:pPr>
              <w:rPr>
                <w:highlight w:val="none"/>
              </w:rPr>
            </w:pPr>
            <w:r>
              <w:rPr>
                <w:rFonts w:hint="eastAsia"/>
                <w:szCs w:val="21"/>
                <w:highlight w:val="none"/>
              </w:rPr>
              <w:t>组织的岗位、职责权限</w:t>
            </w:r>
          </w:p>
        </w:tc>
        <w:tc>
          <w:tcPr>
            <w:tcW w:w="960" w:type="dxa"/>
            <w:vAlign w:val="center"/>
          </w:tcPr>
          <w:p>
            <w:pPr>
              <w:rPr>
                <w:szCs w:val="21"/>
              </w:rPr>
            </w:pPr>
            <w:r>
              <w:rPr>
                <w:rFonts w:hint="eastAsia"/>
                <w:szCs w:val="21"/>
              </w:rPr>
              <w:t>EO5.3</w:t>
            </w:r>
          </w:p>
          <w:p>
            <w:pPr>
              <w:pStyle w:val="2"/>
            </w:pPr>
          </w:p>
        </w:tc>
        <w:tc>
          <w:tcPr>
            <w:tcW w:w="10694" w:type="dxa"/>
            <w:vAlign w:val="center"/>
          </w:tcPr>
          <w:p>
            <w:pPr>
              <w:ind w:firstLine="420" w:firstLineChars="200"/>
              <w:rPr>
                <w:rFonts w:hint="eastAsia"/>
                <w:sz w:val="24"/>
                <w:szCs w:val="24"/>
                <w:lang w:val="en-US" w:eastAsia="zh-CN"/>
              </w:rPr>
            </w:pPr>
            <w:r>
              <w:rPr>
                <w:rFonts w:hint="eastAsia"/>
              </w:rPr>
              <w:t>部门负责人：</w:t>
            </w:r>
            <w:r>
              <w:rPr>
                <w:rFonts w:hint="eastAsia"/>
                <w:sz w:val="24"/>
                <w:szCs w:val="24"/>
                <w:lang w:val="en-US" w:eastAsia="zh-CN"/>
              </w:rPr>
              <w:t>常文礼</w:t>
            </w:r>
          </w:p>
          <w:p>
            <w:pPr>
              <w:ind w:firstLine="420" w:firstLineChars="200"/>
            </w:pPr>
            <w:r>
              <w:rPr>
                <w:rFonts w:hint="eastAsia"/>
              </w:rPr>
              <w:t>公司最高管理者根据产品要求、顾客要求以及公司</w:t>
            </w:r>
            <w:r>
              <w:rPr>
                <w:rFonts w:hint="eastAsia"/>
                <w:lang w:eastAsia="zh-CN"/>
              </w:rPr>
              <w:t>成产</w:t>
            </w:r>
            <w:r>
              <w:rPr>
                <w:rFonts w:hint="eastAsia"/>
              </w:rPr>
              <w:t>和发展的要求建立适合于公司自身情况的公司组织架构，同时建立《岗位职责说明书》来规范公司各级组织架构及相应岗位职责的控制，确保各层次职责、权限和相互关系予以规定并得到沟通和互相理解；</w:t>
            </w:r>
          </w:p>
          <w:p>
            <w:r>
              <w:rPr>
                <w:rFonts w:hint="eastAsia"/>
              </w:rPr>
              <w:t>职责明确，回答基本正确，沟通顺畅。</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6" w:hRule="atLeast"/>
          <w:jc w:val="center"/>
        </w:trPr>
        <w:tc>
          <w:tcPr>
            <w:tcW w:w="2160" w:type="dxa"/>
            <w:vAlign w:val="center"/>
          </w:tcPr>
          <w:p>
            <w:pPr>
              <w:rPr>
                <w:rFonts w:cs="宋体"/>
                <w:highlight w:val="none"/>
              </w:rPr>
            </w:pPr>
            <w:r>
              <w:rPr>
                <w:rFonts w:hint="eastAsia" w:cs="宋体"/>
                <w:highlight w:val="none"/>
              </w:rPr>
              <w:t>工作人员的协商和参与(员工代表）</w:t>
            </w:r>
          </w:p>
        </w:tc>
        <w:tc>
          <w:tcPr>
            <w:tcW w:w="960" w:type="dxa"/>
            <w:vAlign w:val="center"/>
          </w:tcPr>
          <w:p>
            <w:r>
              <w:rPr>
                <w:rFonts w:hint="eastAsia"/>
              </w:rPr>
              <w:t>O5.4</w:t>
            </w:r>
          </w:p>
        </w:tc>
        <w:tc>
          <w:tcPr>
            <w:tcW w:w="10694" w:type="dxa"/>
            <w:vAlign w:val="center"/>
          </w:tcPr>
          <w:p>
            <w:r>
              <w:rPr>
                <w:rFonts w:hint="eastAsia"/>
              </w:rPr>
              <w:t>企业按标准要求，为各适用层次和职能的员工及其员工代表在职业健康安全管理体系的开发、策划、实施、绩效评价和实施改进时的协商和参与。包括：协商和参与提供所需的机制、时间、培训和资源；</w:t>
            </w:r>
          </w:p>
          <w:p>
            <w:r>
              <w:rPr>
                <w:rFonts w:hint="eastAsia"/>
              </w:rPr>
              <w:t>向员工和员工代表提供有关职业健康安全管理体系清晰的、可理解的和必要的信息；确定并消除影响参与的障碍或壁垒，并尽量减少那些无法消除的障碍或壁垒；</w:t>
            </w:r>
          </w:p>
          <w:p>
            <w:r>
              <w:rPr>
                <w:rFonts w:hint="eastAsia"/>
              </w:rPr>
              <w:t>主要协商：员工需求和期望；公司的职业健康安全方针；需要履行法定要求和其它要求；安全目标；需监视、测量和评价的内容等</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160" w:type="dxa"/>
            <w:vAlign w:val="center"/>
          </w:tcPr>
          <w:p>
            <w:pPr>
              <w:keepNext w:val="0"/>
              <w:keepLines w:val="0"/>
              <w:widowControl/>
              <w:suppressLineNumbers w:val="0"/>
              <w:jc w:val="left"/>
              <w:rPr>
                <w:b w:val="0"/>
                <w:bCs w:val="0"/>
                <w:color w:val="auto"/>
                <w:highlight w:val="none"/>
              </w:rPr>
            </w:pPr>
            <w:r>
              <w:rPr>
                <w:rFonts w:ascii="黑体" w:hAnsi="宋体" w:eastAsia="黑体" w:cs="黑体"/>
                <w:b w:val="0"/>
                <w:bCs w:val="0"/>
                <w:color w:val="auto"/>
                <w:kern w:val="0"/>
                <w:sz w:val="21"/>
                <w:szCs w:val="21"/>
                <w:highlight w:val="none"/>
                <w:lang w:val="en-US" w:eastAsia="zh-CN" w:bidi="ar"/>
              </w:rPr>
              <w:t>应对风险和机遇的措施</w:t>
            </w:r>
          </w:p>
          <w:p>
            <w:pPr>
              <w:rPr>
                <w:rFonts w:hint="eastAsia" w:eastAsia="宋体" w:cs="宋体"/>
                <w:b w:val="0"/>
                <w:bCs w:val="0"/>
                <w:color w:val="auto"/>
                <w:highlight w:val="none"/>
                <w:lang w:eastAsia="zh-CN"/>
              </w:rPr>
            </w:pPr>
          </w:p>
        </w:tc>
        <w:tc>
          <w:tcPr>
            <w:tcW w:w="960" w:type="dxa"/>
            <w:vAlign w:val="center"/>
          </w:tcPr>
          <w:p>
            <w:pPr>
              <w:rPr>
                <w:rFonts w:hint="default"/>
                <w:b w:val="0"/>
                <w:bCs w:val="0"/>
                <w:color w:val="auto"/>
                <w:lang w:val="en-US"/>
              </w:rPr>
            </w:pPr>
            <w:r>
              <w:rPr>
                <w:rFonts w:hint="eastAsia" w:ascii="Times New Roman" w:hAnsi="Times New Roman" w:cs="Times New Roman"/>
                <w:b w:val="0"/>
                <w:bCs w:val="0"/>
                <w:color w:val="auto"/>
                <w:szCs w:val="22"/>
                <w:lang w:val="en-US" w:eastAsia="zh-CN"/>
              </w:rPr>
              <w:t>EO</w:t>
            </w:r>
            <w:r>
              <w:rPr>
                <w:rFonts w:hint="eastAsia" w:ascii="Times New Roman" w:hAnsi="Times New Roman" w:cs="Times New Roman"/>
                <w:b w:val="0"/>
                <w:bCs w:val="0"/>
                <w:color w:val="auto"/>
                <w:szCs w:val="22"/>
              </w:rPr>
              <w:t>6.1</w:t>
            </w:r>
            <w:r>
              <w:rPr>
                <w:rFonts w:hint="eastAsia" w:ascii="Times New Roman" w:hAnsi="Times New Roman" w:cs="Times New Roman"/>
                <w:b w:val="0"/>
                <w:bCs w:val="0"/>
                <w:color w:val="auto"/>
                <w:szCs w:val="22"/>
                <w:lang w:val="en-US" w:eastAsia="zh-CN"/>
              </w:rPr>
              <w:t>.1</w:t>
            </w:r>
          </w:p>
        </w:tc>
        <w:tc>
          <w:tcPr>
            <w:tcW w:w="10694" w:type="dxa"/>
            <w:vAlign w:val="center"/>
          </w:tcPr>
          <w:p>
            <w:pPr>
              <w:rPr>
                <w:rFonts w:hint="eastAsia"/>
                <w:b w:val="0"/>
                <w:bCs w:val="0"/>
                <w:color w:val="auto"/>
                <w:szCs w:val="22"/>
              </w:rPr>
            </w:pPr>
            <w:r>
              <w:rPr>
                <w:rFonts w:hint="eastAsia"/>
                <w:b w:val="0"/>
                <w:bCs w:val="0"/>
                <w:color w:val="auto"/>
                <w:szCs w:val="22"/>
              </w:rPr>
              <w:t>企业识别了如下</w:t>
            </w:r>
            <w:r>
              <w:rPr>
                <w:rFonts w:hint="eastAsia"/>
                <w:b w:val="0"/>
                <w:bCs w:val="0"/>
                <w:color w:val="auto"/>
                <w:szCs w:val="22"/>
                <w:lang w:eastAsia="zh-CN"/>
              </w:rPr>
              <w:t>风险和机遇</w:t>
            </w:r>
            <w:r>
              <w:rPr>
                <w:rFonts w:hint="eastAsia"/>
                <w:b w:val="0"/>
                <w:bCs w:val="0"/>
                <w:color w:val="auto"/>
                <w:szCs w:val="22"/>
              </w:rPr>
              <w:t>分析：</w:t>
            </w:r>
          </w:p>
          <w:p>
            <w:pPr>
              <w:rPr>
                <w:rFonts w:hint="eastAsia"/>
                <w:b w:val="0"/>
                <w:bCs w:val="0"/>
                <w:color w:val="auto"/>
                <w:szCs w:val="22"/>
                <w:lang w:val="en-US" w:eastAsia="zh-CN"/>
              </w:rPr>
            </w:pPr>
            <w:r>
              <w:rPr>
                <w:rFonts w:hint="eastAsia"/>
                <w:b w:val="0"/>
                <w:bCs w:val="0"/>
                <w:color w:val="auto"/>
                <w:szCs w:val="22"/>
                <w:lang w:val="en-US" w:eastAsia="zh-CN"/>
              </w:rPr>
              <w:t>内部审核：审核人员业务技能不熟悉，导致审核浮于表面，审核发现的不符合项目未能及时改善和更近，导致问题长期存在；</w:t>
            </w:r>
          </w:p>
          <w:p>
            <w:pPr>
              <w:rPr>
                <w:rFonts w:hint="eastAsia"/>
                <w:b w:val="0"/>
                <w:bCs w:val="0"/>
                <w:color w:val="auto"/>
                <w:szCs w:val="22"/>
                <w:lang w:val="en-US" w:eastAsia="zh-CN"/>
              </w:rPr>
            </w:pPr>
            <w:r>
              <w:rPr>
                <w:rFonts w:hint="eastAsia"/>
                <w:b w:val="0"/>
                <w:bCs w:val="0"/>
                <w:color w:val="auto"/>
                <w:szCs w:val="22"/>
                <w:lang w:val="en-US" w:eastAsia="zh-CN"/>
              </w:rPr>
              <w:t>持续改进过程：、不合格识别不充分，改善意识不到位，人员不具备改善的能力；</w:t>
            </w:r>
          </w:p>
          <w:p>
            <w:pPr>
              <w:rPr>
                <w:rFonts w:hint="eastAsia"/>
                <w:b w:val="0"/>
                <w:bCs w:val="0"/>
                <w:color w:val="auto"/>
                <w:szCs w:val="22"/>
                <w:lang w:val="en-US" w:eastAsia="zh-CN"/>
              </w:rPr>
            </w:pPr>
            <w:r>
              <w:rPr>
                <w:rFonts w:hint="eastAsia"/>
                <w:b w:val="0"/>
                <w:bCs w:val="0"/>
                <w:color w:val="auto"/>
                <w:szCs w:val="22"/>
                <w:lang w:val="en-US" w:eastAsia="zh-CN"/>
              </w:rPr>
              <w:t>应对风险和机遇过程：风险识别不齐全，风险没有制订相应的措施，措施没有得到有效的实施；</w:t>
            </w:r>
          </w:p>
          <w:p>
            <w:pPr>
              <w:rPr>
                <w:rFonts w:hint="eastAsia"/>
                <w:b w:val="0"/>
                <w:bCs w:val="0"/>
                <w:color w:val="auto"/>
                <w:szCs w:val="22"/>
                <w:lang w:val="en-US" w:eastAsia="zh-CN"/>
              </w:rPr>
            </w:pPr>
            <w:r>
              <w:rPr>
                <w:rFonts w:hint="eastAsia"/>
                <w:b w:val="0"/>
                <w:bCs w:val="0"/>
                <w:color w:val="auto"/>
                <w:szCs w:val="22"/>
                <w:lang w:val="en-US" w:eastAsia="zh-CN"/>
              </w:rPr>
              <w:t>管理评审：输入项目不全，输出项目未能有效落实；</w:t>
            </w:r>
          </w:p>
          <w:p>
            <w:pPr>
              <w:rPr>
                <w:rFonts w:hint="eastAsia"/>
                <w:b w:val="0"/>
                <w:bCs w:val="0"/>
                <w:color w:val="auto"/>
                <w:szCs w:val="22"/>
                <w:lang w:val="en-US" w:eastAsia="zh-CN"/>
              </w:rPr>
            </w:pPr>
            <w:r>
              <w:rPr>
                <w:rFonts w:hint="eastAsia"/>
                <w:b w:val="0"/>
                <w:bCs w:val="0"/>
                <w:color w:val="auto"/>
                <w:szCs w:val="22"/>
                <w:lang w:val="en-US" w:eastAsia="zh-CN"/>
              </w:rPr>
              <w:t>数据分析：.数据信息不准确，导致分析的结论不合理；</w:t>
            </w:r>
          </w:p>
          <w:p>
            <w:pPr>
              <w:rPr>
                <w:rFonts w:hint="eastAsia"/>
                <w:b w:val="0"/>
                <w:bCs w:val="0"/>
                <w:color w:val="auto"/>
                <w:szCs w:val="22"/>
                <w:lang w:val="en-US" w:eastAsia="zh-CN"/>
              </w:rPr>
            </w:pPr>
            <w:r>
              <w:rPr>
                <w:rFonts w:hint="eastAsia"/>
                <w:b w:val="0"/>
                <w:bCs w:val="0"/>
                <w:color w:val="auto"/>
                <w:szCs w:val="22"/>
                <w:lang w:val="en-US" w:eastAsia="zh-CN"/>
              </w:rPr>
              <w:t>质量管理体系策划：交流的对象不明确，交流的方法不当，交流未能保证最终结果；</w:t>
            </w:r>
          </w:p>
          <w:p>
            <w:pPr>
              <w:rPr>
                <w:rFonts w:hint="eastAsia"/>
                <w:b w:val="0"/>
                <w:bCs w:val="0"/>
                <w:color w:val="auto"/>
                <w:szCs w:val="22"/>
                <w:lang w:val="en-US" w:eastAsia="zh-CN"/>
              </w:rPr>
            </w:pPr>
            <w:r>
              <w:rPr>
                <w:rFonts w:hint="eastAsia"/>
                <w:b w:val="0"/>
                <w:bCs w:val="0"/>
                <w:color w:val="auto"/>
                <w:szCs w:val="22"/>
                <w:lang w:val="en-US" w:eastAsia="zh-CN"/>
              </w:rPr>
              <w:t>人力资源控制：人员不足，能力不足，沟通不畅</w:t>
            </w:r>
          </w:p>
          <w:p>
            <w:pPr>
              <w:rPr>
                <w:rFonts w:hint="eastAsia"/>
                <w:b w:val="0"/>
                <w:bCs w:val="0"/>
                <w:color w:val="auto"/>
                <w:szCs w:val="22"/>
                <w:lang w:val="en-US" w:eastAsia="zh-CN"/>
              </w:rPr>
            </w:pPr>
            <w:r>
              <w:rPr>
                <w:rFonts w:hint="eastAsia"/>
                <w:b w:val="0"/>
                <w:bCs w:val="0"/>
                <w:color w:val="auto"/>
                <w:szCs w:val="22"/>
                <w:lang w:val="en-US" w:eastAsia="zh-CN"/>
              </w:rPr>
              <w:t>风险评估意见：企业建立了科学完整的风险管理与内部控制体系，评估认为企业不存在重大经营风险与管理风险。</w:t>
            </w:r>
          </w:p>
          <w:p>
            <w:pPr>
              <w:pStyle w:val="9"/>
              <w:jc w:val="both"/>
              <w:rPr>
                <w:b w:val="0"/>
                <w:bCs w:val="0"/>
                <w:color w:val="auto"/>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160" w:type="dxa"/>
            <w:vAlign w:val="top"/>
          </w:tcPr>
          <w:p>
            <w:pPr>
              <w:rPr>
                <w:rFonts w:hint="eastAsia"/>
                <w:sz w:val="21"/>
                <w:szCs w:val="21"/>
              </w:rPr>
            </w:pPr>
          </w:p>
          <w:p>
            <w:pPr>
              <w:rPr>
                <w:rFonts w:hint="eastAsia"/>
                <w:sz w:val="21"/>
                <w:szCs w:val="21"/>
              </w:rPr>
            </w:pPr>
          </w:p>
          <w:p>
            <w:pPr>
              <w:rPr>
                <w:rFonts w:hint="eastAsia" w:eastAsia="宋体" w:cs="宋体"/>
                <w:highlight w:val="none"/>
                <w:lang w:eastAsia="zh-CN"/>
              </w:rPr>
            </w:pPr>
            <w:r>
              <w:rPr>
                <w:rFonts w:hint="eastAsia"/>
                <w:sz w:val="21"/>
                <w:szCs w:val="21"/>
              </w:rPr>
              <w:t>环境因素、危险源识别</w:t>
            </w:r>
          </w:p>
        </w:tc>
        <w:tc>
          <w:tcPr>
            <w:tcW w:w="960" w:type="dxa"/>
            <w:vAlign w:val="center"/>
          </w:tcPr>
          <w:p>
            <w:pPr>
              <w:rPr>
                <w:rFonts w:hint="eastAsia"/>
              </w:rPr>
            </w:pPr>
            <w:r>
              <w:rPr>
                <w:rFonts w:hint="eastAsia"/>
              </w:rPr>
              <w:t>E</w:t>
            </w:r>
            <w:r>
              <w:rPr>
                <w:rFonts w:hint="eastAsia"/>
                <w:lang w:val="en-US" w:eastAsia="zh-CN"/>
              </w:rPr>
              <w:t>O</w:t>
            </w:r>
            <w:r>
              <w:rPr>
                <w:rFonts w:hint="eastAsia"/>
              </w:rPr>
              <w:t>6.1.2</w:t>
            </w:r>
          </w:p>
          <w:p>
            <w:pPr>
              <w:rPr>
                <w:rFonts w:hint="eastAsia" w:eastAsia="宋体"/>
                <w:lang w:eastAsia="zh-CN"/>
              </w:rPr>
            </w:pPr>
            <w:r>
              <w:rPr>
                <w:rFonts w:hint="eastAsia"/>
              </w:rPr>
              <w:t>E</w:t>
            </w:r>
            <w:r>
              <w:rPr>
                <w:rFonts w:hint="eastAsia"/>
                <w:lang w:val="en-US" w:eastAsia="zh-CN"/>
              </w:rPr>
              <w:t>O</w:t>
            </w:r>
            <w:r>
              <w:rPr>
                <w:rFonts w:hint="eastAsia"/>
              </w:rPr>
              <w:t>6.1.</w:t>
            </w:r>
            <w:r>
              <w:rPr>
                <w:rFonts w:hint="eastAsia"/>
                <w:lang w:val="en-US" w:eastAsia="zh-CN"/>
              </w:rPr>
              <w:t>4</w:t>
            </w:r>
          </w:p>
          <w:p>
            <w:pPr>
              <w:pStyle w:val="2"/>
              <w:rPr>
                <w:rFonts w:hint="eastAsia"/>
                <w:lang w:val="en-US" w:eastAsia="zh-CN"/>
              </w:rPr>
            </w:pPr>
          </w:p>
        </w:tc>
        <w:tc>
          <w:tcPr>
            <w:tcW w:w="10694" w:type="dxa"/>
            <w:vAlign w:val="center"/>
          </w:tcPr>
          <w:p>
            <w:pPr>
              <w:ind w:firstLine="420" w:firstLineChars="200"/>
              <w:rPr>
                <w:rFonts w:hint="eastAsia" w:eastAsia="宋体"/>
                <w:color w:val="000000" w:themeColor="text1"/>
                <w:sz w:val="21"/>
                <w:szCs w:val="21"/>
                <w:lang w:val="en-US" w:eastAsia="zh-CN"/>
              </w:rPr>
            </w:pPr>
            <w:r>
              <w:rPr>
                <w:rFonts w:hint="eastAsia"/>
                <w:bCs w:val="0"/>
                <w:color w:val="000000" w:themeColor="text1"/>
                <w:spacing w:val="0"/>
                <w:sz w:val="21"/>
                <w:szCs w:val="21"/>
                <w:lang w:val="en-US" w:eastAsia="zh-CN"/>
              </w:rPr>
              <w:t>实施</w:t>
            </w:r>
            <w:r>
              <w:rPr>
                <w:rFonts w:hint="eastAsia"/>
                <w:bCs w:val="0"/>
                <w:color w:val="000000" w:themeColor="text1"/>
                <w:spacing w:val="0"/>
                <w:sz w:val="21"/>
                <w:szCs w:val="21"/>
                <w:lang w:eastAsia="zh-CN"/>
              </w:rPr>
              <w:t xml:space="preserve"> “环境因素</w:t>
            </w:r>
            <w:r>
              <w:rPr>
                <w:rFonts w:hint="eastAsia"/>
                <w:bCs w:val="0"/>
                <w:color w:val="000000" w:themeColor="text1"/>
                <w:spacing w:val="0"/>
                <w:sz w:val="21"/>
                <w:szCs w:val="21"/>
                <w:lang w:val="en-US" w:eastAsia="zh-CN"/>
              </w:rPr>
              <w:t>/</w:t>
            </w:r>
            <w:r>
              <w:rPr>
                <w:rFonts w:hint="eastAsia" w:ascii="Times New Roman" w:hAnsi="Times New Roman" w:eastAsia="宋体" w:cs="Times New Roman"/>
                <w:bCs w:val="0"/>
                <w:color w:val="000000" w:themeColor="text1"/>
                <w:spacing w:val="0"/>
                <w:kern w:val="2"/>
                <w:sz w:val="21"/>
                <w:szCs w:val="21"/>
                <w:lang w:val="en-US" w:eastAsia="zh-CN" w:bidi="ar-SA"/>
              </w:rPr>
              <w:t>危险因素辨识</w:t>
            </w:r>
            <w:r>
              <w:rPr>
                <w:rFonts w:hint="eastAsia"/>
                <w:bCs w:val="0"/>
                <w:color w:val="000000" w:themeColor="text1"/>
                <w:spacing w:val="0"/>
                <w:sz w:val="21"/>
                <w:szCs w:val="21"/>
                <w:lang w:eastAsia="zh-CN"/>
              </w:rPr>
              <w:t>识别评价控制程序”，</w:t>
            </w:r>
            <w:r>
              <w:rPr>
                <w:rFonts w:hint="eastAsia"/>
                <w:bCs w:val="0"/>
                <w:color w:val="000000" w:themeColor="text1"/>
                <w:spacing w:val="0"/>
                <w:sz w:val="21"/>
                <w:szCs w:val="21"/>
                <w:lang w:val="en-US" w:eastAsia="zh-CN"/>
              </w:rPr>
              <w:t>采购部</w:t>
            </w:r>
            <w:r>
              <w:rPr>
                <w:rFonts w:hint="eastAsia"/>
                <w:bCs w:val="0"/>
                <w:color w:val="000000" w:themeColor="text1"/>
                <w:spacing w:val="0"/>
                <w:sz w:val="21"/>
                <w:szCs w:val="21"/>
              </w:rPr>
              <w:t>负责所属区域范围内环境因素</w:t>
            </w:r>
            <w:r>
              <w:rPr>
                <w:rFonts w:hint="eastAsia"/>
                <w:bCs w:val="0"/>
                <w:color w:val="000000" w:themeColor="text1"/>
                <w:spacing w:val="0"/>
                <w:sz w:val="21"/>
                <w:szCs w:val="21"/>
                <w:lang w:val="en-US" w:eastAsia="zh-CN"/>
              </w:rPr>
              <w:t>/</w:t>
            </w:r>
            <w:r>
              <w:rPr>
                <w:rFonts w:hint="eastAsia" w:ascii="Times New Roman" w:hAnsi="Times New Roman" w:eastAsia="宋体" w:cs="Times New Roman"/>
                <w:bCs w:val="0"/>
                <w:color w:val="000000" w:themeColor="text1"/>
                <w:spacing w:val="0"/>
                <w:kern w:val="2"/>
                <w:sz w:val="21"/>
                <w:szCs w:val="21"/>
                <w:lang w:val="en-US" w:eastAsia="zh-CN" w:bidi="ar-SA"/>
              </w:rPr>
              <w:t>危险因素</w:t>
            </w:r>
            <w:r>
              <w:rPr>
                <w:rFonts w:hint="eastAsia"/>
                <w:bCs w:val="0"/>
                <w:color w:val="000000" w:themeColor="text1"/>
                <w:spacing w:val="0"/>
                <w:sz w:val="21"/>
                <w:szCs w:val="21"/>
              </w:rPr>
              <w:t>的识别、评价，确定重要环境因素，并报送</w:t>
            </w:r>
            <w:r>
              <w:rPr>
                <w:rFonts w:hint="eastAsia"/>
                <w:bCs w:val="0"/>
                <w:color w:val="000000" w:themeColor="text1"/>
                <w:spacing w:val="0"/>
                <w:sz w:val="21"/>
                <w:szCs w:val="21"/>
                <w:lang w:val="en-US" w:eastAsia="zh-CN"/>
              </w:rPr>
              <w:t>办公室</w:t>
            </w:r>
            <w:r>
              <w:rPr>
                <w:rFonts w:hint="eastAsia"/>
                <w:bCs w:val="0"/>
                <w:color w:val="000000" w:themeColor="text1"/>
                <w:spacing w:val="0"/>
                <w:sz w:val="21"/>
                <w:szCs w:val="21"/>
              </w:rPr>
              <w:t>。</w:t>
            </w:r>
            <w:r>
              <w:rPr>
                <w:rFonts w:hint="eastAsia"/>
                <w:bCs w:val="0"/>
                <w:color w:val="000000" w:themeColor="text1"/>
                <w:spacing w:val="0"/>
                <w:sz w:val="21"/>
                <w:szCs w:val="21"/>
                <w:lang w:val="en-US" w:eastAsia="zh-CN"/>
              </w:rPr>
              <w:t>如下;</w:t>
            </w:r>
          </w:p>
          <w:p>
            <w:pPr>
              <w:pStyle w:val="2"/>
              <w:ind w:firstLine="420" w:firstLineChars="200"/>
              <w:rPr>
                <w:rFonts w:hint="eastAsia"/>
                <w:bCs w:val="0"/>
                <w:color w:val="000000" w:themeColor="text1"/>
                <w:spacing w:val="0"/>
                <w:sz w:val="21"/>
                <w:szCs w:val="21"/>
              </w:rPr>
            </w:pPr>
            <w:r>
              <w:rPr>
                <w:rFonts w:hint="eastAsia"/>
                <w:bCs w:val="0"/>
                <w:color w:val="000000" w:themeColor="text1"/>
                <w:spacing w:val="0"/>
                <w:sz w:val="21"/>
                <w:szCs w:val="21"/>
              </w:rPr>
              <w:t>提供了</w:t>
            </w:r>
            <w:r>
              <w:rPr>
                <w:rFonts w:hint="eastAsia"/>
                <w:bCs w:val="0"/>
                <w:color w:val="000000" w:themeColor="text1"/>
                <w:spacing w:val="0"/>
                <w:sz w:val="21"/>
                <w:szCs w:val="21"/>
                <w:lang w:eastAsia="zh-CN"/>
              </w:rPr>
              <w:t>《环境因素识别与评价表》</w:t>
            </w:r>
            <w:r>
              <w:rPr>
                <w:rFonts w:hint="eastAsia"/>
                <w:bCs w:val="0"/>
                <w:color w:val="000000" w:themeColor="text1"/>
                <w:spacing w:val="0"/>
                <w:sz w:val="21"/>
                <w:szCs w:val="21"/>
              </w:rPr>
              <w:t>，识别的环境因素</w:t>
            </w:r>
            <w:r>
              <w:rPr>
                <w:rFonts w:hint="eastAsia"/>
                <w:bCs w:val="0"/>
                <w:color w:val="000000" w:themeColor="text1"/>
                <w:spacing w:val="0"/>
                <w:sz w:val="21"/>
                <w:szCs w:val="21"/>
                <w:lang w:val="en-US" w:eastAsia="zh-CN"/>
              </w:rPr>
              <w:t>进行了评价，</w:t>
            </w:r>
            <w:r>
              <w:rPr>
                <w:rFonts w:hint="eastAsia"/>
                <w:bCs w:val="0"/>
                <w:color w:val="000000" w:themeColor="text1"/>
                <w:spacing w:val="0"/>
                <w:sz w:val="21"/>
                <w:szCs w:val="21"/>
              </w:rPr>
              <w:t>识别出</w:t>
            </w:r>
            <w:r>
              <w:rPr>
                <w:rFonts w:hint="eastAsia"/>
                <w:bCs w:val="0"/>
                <w:color w:val="000000" w:themeColor="text1"/>
                <w:spacing w:val="0"/>
                <w:sz w:val="21"/>
                <w:szCs w:val="21"/>
                <w:lang w:eastAsia="zh-CN"/>
              </w:rPr>
              <w:t>：</w:t>
            </w:r>
            <w:r>
              <w:rPr>
                <w:rFonts w:hint="eastAsia"/>
                <w:bCs w:val="0"/>
                <w:color w:val="000000" w:themeColor="text1"/>
                <w:spacing w:val="0"/>
                <w:sz w:val="21"/>
                <w:szCs w:val="21"/>
              </w:rPr>
              <w:t>办公活动中产生的纸张等消耗、固废排放、生活废水排放等环境因素。</w:t>
            </w:r>
          </w:p>
          <w:p>
            <w:pPr>
              <w:pStyle w:val="2"/>
              <w:ind w:firstLine="420" w:firstLineChars="200"/>
              <w:rPr>
                <w:rFonts w:hint="eastAsia" w:eastAsia="宋体"/>
                <w:bCs w:val="0"/>
                <w:color w:val="000000" w:themeColor="text1"/>
                <w:spacing w:val="0"/>
                <w:sz w:val="21"/>
                <w:szCs w:val="21"/>
                <w:lang w:val="en-US" w:eastAsia="zh-CN"/>
              </w:rPr>
            </w:pPr>
            <w:r>
              <w:rPr>
                <w:rFonts w:hint="eastAsia"/>
                <w:bCs w:val="0"/>
                <w:color w:val="000000" w:themeColor="text1"/>
                <w:spacing w:val="0"/>
                <w:sz w:val="21"/>
                <w:szCs w:val="21"/>
              </w:rPr>
              <w:t>提供了“重要环境因素清单”：</w:t>
            </w:r>
            <w:r>
              <w:rPr>
                <w:rFonts w:hint="eastAsia"/>
                <w:bCs w:val="0"/>
                <w:color w:val="000000" w:themeColor="text1"/>
                <w:spacing w:val="0"/>
                <w:sz w:val="21"/>
                <w:szCs w:val="21"/>
                <w:lang w:val="en-US" w:eastAsia="zh-CN"/>
              </w:rPr>
              <w:t>识别出固废、火灾。</w:t>
            </w:r>
            <w:r>
              <w:rPr>
                <w:rFonts w:hint="eastAsia"/>
                <w:bCs w:val="0"/>
                <w:color w:val="000000" w:themeColor="text1"/>
                <w:spacing w:val="0"/>
                <w:sz w:val="21"/>
                <w:szCs w:val="21"/>
              </w:rPr>
              <w:t>提供了针对重要环境因素，编的环境目标、指标及管理方案，内容包括：目标、指标、管理措施、完成时间、资金投入等</w:t>
            </w:r>
            <w:r>
              <w:rPr>
                <w:rFonts w:hint="eastAsia"/>
                <w:bCs w:val="0"/>
                <w:color w:val="000000" w:themeColor="text1"/>
                <w:spacing w:val="0"/>
                <w:sz w:val="21"/>
                <w:szCs w:val="21"/>
                <w:lang w:eastAsia="zh-CN"/>
              </w:rPr>
              <w:t>。</w:t>
            </w:r>
          </w:p>
          <w:p>
            <w:pPr>
              <w:ind w:firstLine="420" w:firstLineChars="200"/>
              <w:rPr>
                <w:rFonts w:hint="default"/>
                <w:color w:val="000000" w:themeColor="text1"/>
                <w:sz w:val="21"/>
                <w:szCs w:val="21"/>
                <w:lang w:val="en-US" w:eastAsia="zh-CN"/>
              </w:rPr>
            </w:pPr>
            <w:r>
              <w:rPr>
                <w:rFonts w:hint="eastAsia"/>
                <w:color w:val="000000" w:themeColor="text1"/>
                <w:sz w:val="21"/>
                <w:szCs w:val="21"/>
              </w:rPr>
              <w:t>提</w:t>
            </w:r>
            <w:r>
              <w:rPr>
                <w:rFonts w:hint="eastAsia" w:ascii="Times New Roman" w:hAnsi="Times New Roman" w:eastAsia="宋体" w:cs="Times New Roman"/>
                <w:bCs w:val="0"/>
                <w:color w:val="000000" w:themeColor="text1"/>
                <w:spacing w:val="0"/>
                <w:kern w:val="2"/>
                <w:sz w:val="21"/>
                <w:szCs w:val="21"/>
                <w:lang w:val="en-US" w:eastAsia="zh-CN" w:bidi="ar-SA"/>
              </w:rPr>
              <w:t>供了《危险因素辨识与评价登记表》，对活动场所产生的危险源辨识并进行风险评价，以确定控制措施，经查阅已辨识出：漏电、车辆未定期保养、高空坠物、等情况产生的火灾、触电、意</w:t>
            </w:r>
            <w:r>
              <w:rPr>
                <w:rFonts w:hint="eastAsia"/>
                <w:color w:val="000000" w:themeColor="text1"/>
                <w:sz w:val="21"/>
                <w:szCs w:val="21"/>
              </w:rPr>
              <w:t xml:space="preserve">外伤害等危险因素。 </w:t>
            </w:r>
            <w:r>
              <w:rPr>
                <w:rFonts w:hint="eastAsia"/>
                <w:bCs w:val="0"/>
                <w:color w:val="000000" w:themeColor="text1"/>
                <w:spacing w:val="0"/>
                <w:sz w:val="21"/>
                <w:szCs w:val="21"/>
              </w:rPr>
              <w:t xml:space="preserve">  </w:t>
            </w:r>
          </w:p>
          <w:p>
            <w:pPr>
              <w:pStyle w:val="2"/>
            </w:pPr>
            <w:r>
              <w:rPr>
                <w:rFonts w:hint="eastAsia"/>
                <w:color w:val="000000" w:themeColor="text1"/>
                <w:sz w:val="21"/>
                <w:szCs w:val="21"/>
              </w:rPr>
              <w:t>提供了</w:t>
            </w:r>
            <w:r>
              <w:rPr>
                <w:rFonts w:hint="eastAsia"/>
                <w:color w:val="000000" w:themeColor="text1"/>
                <w:sz w:val="21"/>
                <w:szCs w:val="21"/>
                <w:lang w:eastAsia="zh-CN"/>
              </w:rPr>
              <w:t>《重大危险源清单》</w:t>
            </w:r>
            <w:r>
              <w:rPr>
                <w:rFonts w:hint="eastAsia"/>
                <w:color w:val="000000" w:themeColor="text1"/>
                <w:sz w:val="21"/>
                <w:szCs w:val="21"/>
              </w:rPr>
              <w:t>涉及本部门的不可接受风险有：火灾，触电</w:t>
            </w:r>
            <w:r>
              <w:rPr>
                <w:rFonts w:hint="eastAsia"/>
                <w:color w:val="000000" w:themeColor="text1"/>
                <w:sz w:val="21"/>
                <w:szCs w:val="21"/>
                <w:lang w:eastAsia="zh-CN"/>
              </w:rPr>
              <w:t>。</w:t>
            </w:r>
            <w:r>
              <w:rPr>
                <w:rFonts w:hint="eastAsia"/>
                <w:color w:val="000000" w:themeColor="text1"/>
                <w:sz w:val="21"/>
                <w:szCs w:val="21"/>
              </w:rPr>
              <w:t xml:space="preserve">  </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2160" w:type="dxa"/>
          </w:tcPr>
          <w:p>
            <w:pPr>
              <w:spacing w:line="280" w:lineRule="exact"/>
              <w:rPr>
                <w:rFonts w:ascii="宋体" w:hAnsi="宋体" w:cs="宋体"/>
                <w:szCs w:val="21"/>
                <w:highlight w:val="none"/>
              </w:rPr>
            </w:pPr>
            <w:r>
              <w:rPr>
                <w:rFonts w:hint="eastAsia"/>
                <w:szCs w:val="21"/>
                <w:highlight w:val="none"/>
              </w:rPr>
              <w:t>合规义务、法律法规及其他要求</w:t>
            </w:r>
          </w:p>
        </w:tc>
        <w:tc>
          <w:tcPr>
            <w:tcW w:w="960" w:type="dxa"/>
          </w:tcPr>
          <w:p>
            <w:pPr>
              <w:spacing w:line="280" w:lineRule="exact"/>
              <w:rPr>
                <w:rFonts w:hint="default"/>
                <w:lang w:val="en-US"/>
              </w:rPr>
            </w:pPr>
            <w:r>
              <w:rPr>
                <w:rFonts w:hint="eastAsia" w:ascii="Times New Roman" w:hAnsi="Times New Roman" w:cs="Times New Roman"/>
                <w:szCs w:val="22"/>
                <w:lang w:val="en-US" w:eastAsia="zh-CN"/>
              </w:rPr>
              <w:t>EO</w:t>
            </w:r>
            <w:r>
              <w:rPr>
                <w:rFonts w:hint="eastAsia" w:ascii="Times New Roman" w:hAnsi="Times New Roman" w:cs="Times New Roman"/>
                <w:szCs w:val="22"/>
              </w:rPr>
              <w:t>6.1</w:t>
            </w:r>
            <w:r>
              <w:rPr>
                <w:rFonts w:hint="eastAsia" w:ascii="Times New Roman" w:hAnsi="Times New Roman" w:cs="Times New Roman"/>
                <w:szCs w:val="22"/>
                <w:lang w:val="en-US" w:eastAsia="zh-CN"/>
              </w:rPr>
              <w:t>.3</w:t>
            </w:r>
          </w:p>
        </w:tc>
        <w:tc>
          <w:tcPr>
            <w:tcW w:w="10694" w:type="dxa"/>
            <w:vAlign w:val="center"/>
          </w:tcPr>
          <w:p>
            <w:pPr>
              <w:ind w:firstLine="420" w:firstLineChars="200"/>
              <w:rPr>
                <w:rFonts w:hint="default"/>
                <w:lang w:val="en-US" w:eastAsia="zh-CN"/>
              </w:rPr>
            </w:pPr>
            <w:r>
              <w:rPr>
                <w:rFonts w:hint="eastAsia"/>
              </w:rPr>
              <w:t>根据《</w:t>
            </w:r>
            <w:r>
              <w:t>法律法规和其它要求控制程序</w:t>
            </w:r>
            <w:r>
              <w:rPr>
                <w:rFonts w:hint="eastAsia"/>
              </w:rPr>
              <w:t>》要求，随时对法律法规的更新进行跟踪，并进行补充。于</w:t>
            </w:r>
            <w:r>
              <w:rPr>
                <w:rFonts w:hint="eastAsia"/>
                <w:lang w:val="en-US" w:eastAsia="zh-CN"/>
              </w:rPr>
              <w:t>2020.5.23</w:t>
            </w:r>
          </w:p>
          <w:p>
            <w:r>
              <w:rPr>
                <w:rFonts w:hint="eastAsia"/>
              </w:rPr>
              <w:t>识别了法律法规清单。获取渠道为网上下载。</w:t>
            </w:r>
          </w:p>
          <w:p>
            <w:pPr>
              <w:ind w:firstLine="420" w:firstLineChars="200"/>
              <w:rPr>
                <w:rFonts w:hint="eastAsia"/>
              </w:rPr>
            </w:pPr>
            <w:r>
              <w:rPr>
                <w:rFonts w:hint="eastAsia"/>
              </w:rPr>
              <w:t>提供《法律法规清单》收集的环境和安全法律法规。</w:t>
            </w:r>
          </w:p>
          <w:p>
            <w:pPr>
              <w:ind w:firstLine="420" w:firstLineChars="200"/>
              <w:rPr>
                <w:rFonts w:hint="eastAsia"/>
              </w:rPr>
            </w:pPr>
            <w:r>
              <w:rPr>
                <w:rFonts w:hint="eastAsia"/>
              </w:rPr>
              <w:t>组织进行了合规性的评价，评价时间为</w:t>
            </w:r>
            <w:r>
              <w:rPr>
                <w:rFonts w:hint="eastAsia"/>
                <w:lang w:val="en-US" w:eastAsia="zh-CN"/>
              </w:rPr>
              <w:t>2020.4.25</w:t>
            </w:r>
            <w:r>
              <w:rPr>
                <w:rFonts w:hint="eastAsia"/>
              </w:rPr>
              <w:t xml:space="preserve"> </w:t>
            </w:r>
          </w:p>
          <w:p>
            <w:pPr>
              <w:ind w:firstLine="420" w:firstLineChars="200"/>
              <w:rPr>
                <w:rFonts w:hint="eastAsia"/>
                <w:lang w:eastAsia="zh-CN"/>
              </w:rPr>
            </w:pPr>
            <w:r>
              <w:rPr>
                <w:rFonts w:hint="eastAsia"/>
                <w:lang w:eastAsia="zh-CN"/>
              </w:rPr>
              <w:t>查合规性评价记录：批准</w:t>
            </w:r>
            <w:r>
              <w:rPr>
                <w:rFonts w:hint="eastAsia"/>
              </w:rPr>
              <w:t>：</w:t>
            </w:r>
            <w:r>
              <w:rPr>
                <w:rFonts w:hint="eastAsia"/>
                <w:lang w:val="en-US" w:eastAsia="zh-CN"/>
              </w:rPr>
              <w:t xml:space="preserve">宁丽春  </w:t>
            </w:r>
            <w:r>
              <w:rPr>
                <w:rFonts w:hint="eastAsia"/>
              </w:rPr>
              <w:t>日期：</w:t>
            </w:r>
            <w:r>
              <w:rPr>
                <w:rFonts w:hint="eastAsia"/>
                <w:lang w:val="en-US" w:eastAsia="zh-CN"/>
              </w:rPr>
              <w:t>2020.4.25</w:t>
            </w:r>
            <w:r>
              <w:rPr>
                <w:rFonts w:hint="eastAsia"/>
              </w:rPr>
              <w:t xml:space="preserve"> </w:t>
            </w:r>
          </w:p>
          <w:p>
            <w:pPr>
              <w:ind w:firstLine="420" w:firstLineChars="200"/>
              <w:rPr>
                <w:rFonts w:hint="eastAsia"/>
                <w:lang w:eastAsia="zh-CN"/>
              </w:rPr>
            </w:pPr>
            <w:r>
              <w:rPr>
                <w:rFonts w:hint="eastAsia"/>
                <w:lang w:eastAsia="zh-CN"/>
              </w:rPr>
              <w:t>经过对《中华人民共和国水污染防治法（修正）》、《中华人民共和国水污染防治实施细则》、《污水综合排放标准》  环境空气质量标准；有关省环境保护条例等《中华人民共和国大气污染物防治法》；中华人民共和国环境噪声污染防治法、工矿企业厂界噪声标准、市建筑垃圾管理规定；建设部157号令《城市生活垃圾管理办法》；固体废弃物管理程序等、《中华人民共和国节约能源法》、节能降耗管理程序符合性评审，公司无污水排放、粉尘、噪声控制有效，达标排放，固体废弃物控制有效，能源、资源管理方法得当，无违反法律法规的是发生</w:t>
            </w:r>
          </w:p>
          <w:p>
            <w:pPr>
              <w:pStyle w:val="9"/>
              <w:rPr>
                <w:rFonts w:hint="eastAsia"/>
                <w:lang w:eastAsia="zh-CN"/>
              </w:rPr>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2160" w:type="dxa"/>
          </w:tcPr>
          <w:p>
            <w:pPr>
              <w:spacing w:line="280" w:lineRule="exact"/>
              <w:rPr>
                <w:rFonts w:ascii="宋体" w:hAnsi="宋体" w:cs="宋体"/>
                <w:szCs w:val="21"/>
                <w:highlight w:val="none"/>
              </w:rPr>
            </w:pPr>
            <w:r>
              <w:rPr>
                <w:rFonts w:hint="eastAsia" w:ascii="宋体" w:hAnsi="宋体" w:cs="宋体"/>
                <w:szCs w:val="21"/>
                <w:highlight w:val="none"/>
              </w:rPr>
              <w:t>管理目标及其实现的策划</w:t>
            </w:r>
          </w:p>
          <w:p>
            <w:pPr>
              <w:spacing w:line="280" w:lineRule="exact"/>
              <w:rPr>
                <w:rFonts w:ascii="宋体" w:hAnsi="宋体" w:cs="宋体"/>
                <w:szCs w:val="21"/>
                <w:highlight w:val="none"/>
              </w:rPr>
            </w:pPr>
          </w:p>
        </w:tc>
        <w:tc>
          <w:tcPr>
            <w:tcW w:w="960" w:type="dxa"/>
          </w:tcPr>
          <w:p>
            <w:pPr>
              <w:spacing w:line="280" w:lineRule="exact"/>
              <w:rPr>
                <w:rFonts w:hint="eastAsia" w:ascii="Times New Roman" w:hAnsi="Times New Roman" w:cs="Times New Roman"/>
                <w:szCs w:val="22"/>
              </w:rPr>
            </w:pPr>
            <w:r>
              <w:rPr>
                <w:rFonts w:hint="eastAsia" w:ascii="Times New Roman" w:hAnsi="Times New Roman" w:cs="Times New Roman"/>
                <w:szCs w:val="22"/>
                <w:lang w:val="en-US" w:eastAsia="zh-CN"/>
              </w:rPr>
              <w:t>E</w:t>
            </w:r>
            <w:r>
              <w:rPr>
                <w:rFonts w:hint="eastAsia" w:ascii="Times New Roman" w:hAnsi="Times New Roman" w:cs="Times New Roman"/>
                <w:szCs w:val="22"/>
              </w:rPr>
              <w:t>O6.2</w:t>
            </w:r>
          </w:p>
          <w:p>
            <w:pPr>
              <w:spacing w:line="280" w:lineRule="exact"/>
              <w:rPr>
                <w:rFonts w:asciiTheme="minorEastAsia" w:hAnsiTheme="minorEastAsia" w:eastAsiaTheme="minorEastAsia" w:cstheme="minorEastAsia"/>
                <w:szCs w:val="21"/>
              </w:rPr>
            </w:pPr>
          </w:p>
        </w:tc>
        <w:tc>
          <w:tcPr>
            <w:tcW w:w="10694" w:type="dxa"/>
            <w:vAlign w:val="center"/>
          </w:tcPr>
          <w:p>
            <w:pPr>
              <w:spacing w:line="280" w:lineRule="exact"/>
            </w:pPr>
            <w:r>
              <w:rPr>
                <w:rFonts w:hint="eastAsia"/>
                <w:lang w:eastAsia="zh-CN"/>
              </w:rPr>
              <w:t>企业</w:t>
            </w:r>
            <w:r>
              <w:rPr>
                <w:rFonts w:hint="eastAsia"/>
              </w:rPr>
              <w:t>对管理体系所需的相关职能、层次和过程设定管理目标。</w:t>
            </w:r>
          </w:p>
          <w:p>
            <w:pPr>
              <w:autoSpaceDE w:val="0"/>
              <w:autoSpaceDN w:val="0"/>
              <w:adjustRightInd w:val="0"/>
              <w:ind w:firstLine="420" w:firstLineChars="200"/>
              <w:rPr>
                <w:rFonts w:hAnsi="宋体" w:cs="宋体"/>
                <w:kern w:val="0"/>
              </w:rPr>
            </w:pPr>
            <w:r>
              <w:rPr>
                <w:rFonts w:hint="eastAsia" w:hAnsi="宋体" w:cs="宋体"/>
                <w:kern w:val="0"/>
                <w:lang w:eastAsia="zh-CN"/>
              </w:rPr>
              <w:t>技术部</w:t>
            </w:r>
            <w:r>
              <w:rPr>
                <w:rFonts w:hint="eastAsia" w:hAnsi="宋体" w:cs="宋体"/>
                <w:kern w:val="0"/>
              </w:rPr>
              <w:t>的目标分解为：</w:t>
            </w:r>
          </w:p>
          <w:p>
            <w:pPr>
              <w:autoSpaceDE w:val="0"/>
              <w:autoSpaceDN w:val="0"/>
              <w:adjustRightInd w:val="0"/>
              <w:ind w:firstLine="1260" w:firstLineChars="600"/>
              <w:rPr>
                <w:rFonts w:hint="eastAsia" w:hAnsi="宋体" w:eastAsia="宋体" w:cs="宋体"/>
                <w:kern w:val="0"/>
                <w:lang w:eastAsia="zh-CN"/>
              </w:rPr>
            </w:pPr>
            <w:r>
              <w:rPr>
                <w:rFonts w:hint="eastAsia" w:hAnsi="宋体" w:cs="宋体"/>
                <w:kern w:val="0"/>
              </w:rPr>
              <w:t>节能降耗执行合格率≥95%</w:t>
            </w:r>
            <w:r>
              <w:rPr>
                <w:rFonts w:hint="eastAsia" w:hAnsi="宋体" w:cs="宋体"/>
                <w:kern w:val="0"/>
                <w:lang w:eastAsia="zh-CN"/>
              </w:rPr>
              <w:t>（检查合格次数/考核期内检查次数*100%）</w:t>
            </w:r>
          </w:p>
          <w:p>
            <w:pPr>
              <w:pStyle w:val="2"/>
              <w:rPr>
                <w:rFonts w:hint="eastAsia"/>
                <w:lang w:eastAsia="zh-CN"/>
              </w:rPr>
            </w:pPr>
            <w:r>
              <w:rPr>
                <w:rFonts w:hint="eastAsia"/>
              </w:rPr>
              <w:t>每季度末各部门负责对本部门的目标进行统计汇总，并对不达标的进行原因分析，并制定相应的改进措施，提交管理评审会议。查到2</w:t>
            </w:r>
            <w:r>
              <w:t>0</w:t>
            </w:r>
            <w:r>
              <w:rPr>
                <w:rFonts w:hint="eastAsia"/>
                <w:lang w:val="en-US" w:eastAsia="zh-CN"/>
              </w:rPr>
              <w:t>20</w:t>
            </w:r>
            <w:r>
              <w:rPr>
                <w:rFonts w:hint="eastAsia"/>
              </w:rPr>
              <w:t>年</w:t>
            </w:r>
            <w:r>
              <w:rPr>
                <w:rFonts w:hint="eastAsia"/>
                <w:lang w:eastAsia="zh-CN"/>
              </w:rPr>
              <w:t>一、二季度</w:t>
            </w:r>
            <w:r>
              <w:rPr>
                <w:rFonts w:hint="eastAsia"/>
              </w:rPr>
              <w:t>，公司管理目标完成情况，</w:t>
            </w:r>
            <w:r>
              <w:rPr>
                <w:rFonts w:hint="eastAsia"/>
                <w:lang w:eastAsia="zh-CN"/>
              </w:rPr>
              <w:t>技术部质量</w:t>
            </w:r>
            <w:r>
              <w:rPr>
                <w:rFonts w:hint="eastAsia"/>
              </w:rPr>
              <w:t>目标均已完成</w:t>
            </w:r>
            <w:r>
              <w:rPr>
                <w:rFonts w:hint="eastAsia"/>
                <w:lang w:eastAsia="zh-CN"/>
              </w:rPr>
              <w:t>。</w:t>
            </w:r>
          </w:p>
          <w:p>
            <w:pPr>
              <w:ind w:firstLine="420" w:firstLineChars="200"/>
              <w:rPr>
                <w:rFonts w:hint="eastAsia" w:eastAsia="宋体"/>
                <w:lang w:eastAsia="zh-CN"/>
              </w:rPr>
            </w:pPr>
            <w:r>
              <w:rPr>
                <w:rFonts w:hint="eastAsia" w:asciiTheme="minorEastAsia" w:hAnsiTheme="minorEastAsia" w:eastAsiaTheme="minorEastAsia" w:cstheme="minorEastAsia"/>
                <w:szCs w:val="21"/>
              </w:rPr>
              <w:t>查 “环境</w:t>
            </w:r>
            <w:r>
              <w:rPr>
                <w:rFonts w:asciiTheme="minorEastAsia" w:hAnsiTheme="minorEastAsia" w:eastAsiaTheme="minorEastAsia" w:cstheme="minorEastAsia"/>
                <w:szCs w:val="21"/>
              </w:rPr>
              <w:t>目标、指标和管理方案</w:t>
            </w:r>
            <w:r>
              <w:rPr>
                <w:rFonts w:hint="eastAsia" w:asciiTheme="minorEastAsia" w:hAnsiTheme="minorEastAsia" w:eastAsiaTheme="minorEastAsia" w:cstheme="minorEastAsia"/>
                <w:szCs w:val="21"/>
              </w:rPr>
              <w:t>”和“</w:t>
            </w:r>
            <w:r>
              <w:rPr>
                <w:rFonts w:asciiTheme="minorEastAsia" w:hAnsiTheme="minorEastAsia" w:eastAsiaTheme="minorEastAsia" w:cstheme="minorEastAsia"/>
                <w:szCs w:val="21"/>
              </w:rPr>
              <w:t>职业健康安全目标、指标和管理方案</w:t>
            </w:r>
            <w:r>
              <w:rPr>
                <w:rFonts w:hint="eastAsia" w:asciiTheme="minorEastAsia" w:hAnsiTheme="minorEastAsia" w:eastAsiaTheme="minorEastAsia" w:cstheme="minorEastAsia"/>
                <w:szCs w:val="21"/>
              </w:rPr>
              <w:t>”，公司针对重要环境因素和重大危险源制订了相应的管理方案。</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0" w:type="dxa"/>
            <w:vAlign w:val="center"/>
          </w:tcPr>
          <w:p>
            <w:pPr>
              <w:rPr>
                <w:highlight w:val="none"/>
              </w:rPr>
            </w:pPr>
            <w:r>
              <w:rPr>
                <w:rFonts w:hint="eastAsia"/>
                <w:szCs w:val="21"/>
                <w:highlight w:val="none"/>
              </w:rPr>
              <w:t>文件化信息</w:t>
            </w:r>
          </w:p>
        </w:tc>
        <w:tc>
          <w:tcPr>
            <w:tcW w:w="960" w:type="dxa"/>
            <w:vAlign w:val="center"/>
          </w:tcPr>
          <w:p>
            <w:pPr>
              <w:pStyle w:val="2"/>
              <w:rPr>
                <w:bCs w:val="0"/>
                <w:spacing w:val="0"/>
                <w:szCs w:val="21"/>
              </w:rPr>
            </w:pPr>
          </w:p>
          <w:p>
            <w:pPr>
              <w:rPr>
                <w:szCs w:val="21"/>
              </w:rPr>
            </w:pPr>
            <w:r>
              <w:rPr>
                <w:rFonts w:hint="eastAsia"/>
                <w:szCs w:val="21"/>
              </w:rPr>
              <w:t>EO7.5</w:t>
            </w:r>
          </w:p>
          <w:p>
            <w:pPr>
              <w:pStyle w:val="2"/>
            </w:pPr>
          </w:p>
        </w:tc>
        <w:tc>
          <w:tcPr>
            <w:tcW w:w="10694" w:type="dxa"/>
            <w:vAlign w:val="center"/>
          </w:tcPr>
          <w:p>
            <w:pPr>
              <w:ind w:firstLine="420" w:firstLineChars="200"/>
            </w:pPr>
            <w:r>
              <w:rPr>
                <w:rFonts w:hint="eastAsia"/>
              </w:rPr>
              <w:t>受审核方建立的管理体系文件包括：</w:t>
            </w:r>
          </w:p>
          <w:p>
            <w:pPr>
              <w:numPr>
                <w:ilvl w:val="0"/>
                <w:numId w:val="2"/>
              </w:numPr>
              <w:ind w:firstLine="420" w:firstLineChars="200"/>
              <w:rPr>
                <w:rFonts w:hint="eastAsia"/>
                <w:lang w:val="en-US" w:eastAsia="zh-CN"/>
              </w:rPr>
            </w:pPr>
            <w:r>
              <w:rPr>
                <w:rFonts w:hint="eastAsia"/>
              </w:rPr>
              <w:t>环境</w:t>
            </w:r>
            <w:r>
              <w:rPr>
                <w:rFonts w:hint="eastAsia"/>
                <w:lang w:val="en-US" w:eastAsia="zh-CN"/>
              </w:rPr>
              <w:t>/</w:t>
            </w:r>
            <w:r>
              <w:rPr>
                <w:rFonts w:hint="eastAsia"/>
              </w:rPr>
              <w:t>职业健康安全</w:t>
            </w:r>
            <w:r>
              <w:rPr>
                <w:rFonts w:hint="eastAsia"/>
                <w:lang w:eastAsia="zh-CN"/>
              </w:rPr>
              <w:t>管理</w:t>
            </w:r>
            <w:r>
              <w:rPr>
                <w:rFonts w:hint="eastAsia"/>
              </w:rPr>
              <w:t>手册</w:t>
            </w:r>
            <w:r>
              <w:rPr>
                <w:rFonts w:hint="eastAsia"/>
                <w:lang w:val="en-US" w:eastAsia="zh-CN"/>
              </w:rPr>
              <w:t>XS</w:t>
            </w:r>
            <w:r>
              <w:rPr>
                <w:rFonts w:hint="eastAsia"/>
              </w:rPr>
              <w:t>/SC-</w:t>
            </w:r>
            <w:r>
              <w:rPr>
                <w:rFonts w:hint="eastAsia"/>
                <w:lang w:val="en-US" w:eastAsia="zh-CN"/>
              </w:rPr>
              <w:t>2020A/0版</w:t>
            </w:r>
            <w:r>
              <w:rPr>
                <w:rFonts w:hint="eastAsia"/>
              </w:rPr>
              <w:t>，发布时间：</w:t>
            </w:r>
            <w:r>
              <w:rPr>
                <w:rFonts w:hint="eastAsia"/>
                <w:lang w:val="en-US" w:eastAsia="zh-CN"/>
              </w:rPr>
              <w:t>2020.1.10</w:t>
            </w:r>
            <w:r>
              <w:rPr>
                <w:rFonts w:hint="eastAsia"/>
              </w:rPr>
              <w:t>实施时间：</w:t>
            </w:r>
            <w:r>
              <w:rPr>
                <w:rFonts w:hint="eastAsia"/>
                <w:lang w:val="en-US" w:eastAsia="zh-CN"/>
              </w:rPr>
              <w:t>2020.1.10</w:t>
            </w:r>
          </w:p>
          <w:p>
            <w:pPr>
              <w:numPr>
                <w:ilvl w:val="0"/>
                <w:numId w:val="2"/>
              </w:numPr>
              <w:ind w:firstLine="420" w:firstLineChars="200"/>
              <w:rPr>
                <w:rFonts w:hint="eastAsia"/>
              </w:rPr>
            </w:pPr>
            <w:r>
              <w:rPr>
                <w:rFonts w:hint="eastAsia"/>
                <w:lang w:eastAsia="zh-CN"/>
              </w:rPr>
              <w:t>环境</w:t>
            </w:r>
            <w:r>
              <w:rPr>
                <w:rFonts w:hint="eastAsia"/>
                <w:lang w:val="en-US" w:eastAsia="zh-CN"/>
              </w:rPr>
              <w:t>/</w:t>
            </w:r>
            <w:r>
              <w:rPr>
                <w:rFonts w:hint="eastAsia"/>
                <w:lang w:eastAsia="zh-CN"/>
              </w:rPr>
              <w:t>职业健康安全程序</w:t>
            </w:r>
            <w:r>
              <w:rPr>
                <w:rFonts w:hint="eastAsia"/>
                <w:lang w:val="en-US" w:eastAsia="zh-CN"/>
              </w:rPr>
              <w:t>文件XS</w:t>
            </w:r>
            <w:r>
              <w:rPr>
                <w:rFonts w:hint="eastAsia"/>
                <w:lang w:eastAsia="zh-CN"/>
              </w:rPr>
              <w:t>/CX-</w:t>
            </w:r>
            <w:r>
              <w:rPr>
                <w:rFonts w:hint="eastAsia"/>
                <w:lang w:val="en-US" w:eastAsia="zh-CN"/>
              </w:rPr>
              <w:t>2020</w:t>
            </w:r>
            <w:r>
              <w:rPr>
                <w:rFonts w:hint="eastAsia"/>
              </w:rPr>
              <w:t xml:space="preserve"> A/</w:t>
            </w:r>
            <w:r>
              <w:rPr>
                <w:rFonts w:hint="eastAsia"/>
                <w:lang w:val="en-US" w:eastAsia="zh-CN"/>
              </w:rPr>
              <w:t>0</w:t>
            </w:r>
            <w:r>
              <w:rPr>
                <w:rFonts w:hint="eastAsia"/>
              </w:rPr>
              <w:t>版含</w:t>
            </w:r>
            <w:r>
              <w:rPr>
                <w:rFonts w:hint="eastAsia"/>
                <w:lang w:val="en-US" w:eastAsia="zh-CN"/>
              </w:rPr>
              <w:t>13</w:t>
            </w:r>
            <w:r>
              <w:rPr>
                <w:rFonts w:hint="eastAsia"/>
              </w:rPr>
              <w:t>个文件，包括标准要求的形成文件的信息。</w:t>
            </w:r>
          </w:p>
          <w:p>
            <w:pPr>
              <w:numPr>
                <w:ilvl w:val="0"/>
                <w:numId w:val="2"/>
              </w:numPr>
              <w:ind w:firstLine="420" w:firstLineChars="200"/>
              <w:rPr>
                <w:rFonts w:hint="eastAsia"/>
                <w:lang w:eastAsia="zh-CN"/>
              </w:rPr>
            </w:pPr>
            <w:r>
              <w:rPr>
                <w:rFonts w:hint="eastAsia"/>
                <w:lang w:eastAsia="zh-CN"/>
              </w:rPr>
              <w:t>企业管理文件汇编XS-ZD-2014：</w:t>
            </w:r>
            <w:r>
              <w:rPr>
                <w:rFonts w:hint="eastAsia"/>
              </w:rPr>
              <w:t>义务消防管理制度</w:t>
            </w:r>
            <w:r>
              <w:rPr>
                <w:rFonts w:hint="eastAsia"/>
                <w:lang w:eastAsia="zh-CN"/>
              </w:rPr>
              <w:t>、劳动保护管理制度等</w:t>
            </w:r>
            <w:r>
              <w:rPr>
                <w:rFonts w:hint="eastAsia"/>
                <w:lang w:val="en-US" w:eastAsia="zh-CN"/>
              </w:rPr>
              <w:t>32</w:t>
            </w:r>
            <w:r>
              <w:rPr>
                <w:rFonts w:hint="eastAsia"/>
                <w:lang w:eastAsia="zh-CN"/>
              </w:rPr>
              <w:t>个</w:t>
            </w:r>
          </w:p>
          <w:p>
            <w:pPr>
              <w:numPr>
                <w:ilvl w:val="0"/>
                <w:numId w:val="2"/>
              </w:numPr>
              <w:ind w:firstLine="420" w:firstLineChars="200"/>
              <w:rPr>
                <w:rFonts w:hint="eastAsia"/>
                <w:lang w:eastAsia="zh-CN"/>
              </w:rPr>
            </w:pPr>
            <w:r>
              <w:rPr>
                <w:rFonts w:hint="eastAsia"/>
                <w:lang w:eastAsia="zh-CN"/>
              </w:rPr>
              <w:t>安全生产责任制</w:t>
            </w:r>
            <w:r>
              <w:rPr>
                <w:rFonts w:hint="eastAsia"/>
                <w:lang w:val="en-US" w:eastAsia="zh-CN"/>
              </w:rPr>
              <w:t>XS-JL-01  含3部分：</w:t>
            </w:r>
            <w:r>
              <w:rPr>
                <w:rFonts w:hint="eastAsia"/>
                <w:lang w:eastAsia="zh-CN"/>
              </w:rPr>
              <w:t>安全生产责任制、安全生产管理制度、安全技术操作规程</w:t>
            </w:r>
            <w:r>
              <w:rPr>
                <w:rFonts w:hint="eastAsia"/>
                <w:lang w:val="en-US" w:eastAsia="zh-CN"/>
              </w:rPr>
              <w:t xml:space="preserve"> 实施时间：2020.1.10</w:t>
            </w:r>
          </w:p>
          <w:p>
            <w:pPr>
              <w:ind w:firstLine="420" w:firstLineChars="200"/>
            </w:pPr>
            <w:r>
              <w:rPr>
                <w:rFonts w:hint="eastAsia"/>
              </w:rPr>
              <w:t>编制了《文件控制程序》《记录控制程序》用于对管理体系文件，符合标准要求。</w:t>
            </w:r>
          </w:p>
          <w:p>
            <w:pPr>
              <w:ind w:firstLine="420" w:firstLineChars="200"/>
            </w:pPr>
            <w:r>
              <w:rPr>
                <w:rFonts w:hint="eastAsia"/>
              </w:rPr>
              <w:t>查见《法律法规清单》，内容包括：序号、文件名称、编号、版本等，收集基本全面，基本符合。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rPr>
                <w:rFonts w:hint="eastAsia"/>
                <w:szCs w:val="22"/>
                <w:lang w:eastAsia="zh-CN"/>
              </w:rPr>
            </w:pPr>
            <w:r>
              <w:rPr>
                <w:rFonts w:hint="eastAsia"/>
                <w:lang w:eastAsia="zh-CN"/>
              </w:rPr>
              <w:t>技术部管理记录</w:t>
            </w:r>
            <w:r>
              <w:rPr>
                <w:rFonts w:hint="eastAsia"/>
                <w:lang w:val="en-US" w:eastAsia="zh-CN"/>
              </w:rPr>
              <w:t>4项，</w:t>
            </w:r>
            <w:r>
              <w:rPr>
                <w:rFonts w:hint="eastAsia"/>
                <w:szCs w:val="22"/>
              </w:rPr>
              <w:t>有</w:t>
            </w:r>
            <w:r>
              <w:rPr>
                <w:rFonts w:hint="eastAsia"/>
                <w:szCs w:val="22"/>
                <w:lang w:eastAsia="zh-CN"/>
              </w:rPr>
              <w:t>生产</w:t>
            </w:r>
            <w:r>
              <w:rPr>
                <w:rFonts w:hint="eastAsia"/>
                <w:szCs w:val="22"/>
              </w:rPr>
              <w:t>任务单、监视、测量和试验设备台账</w:t>
            </w:r>
            <w:r>
              <w:rPr>
                <w:rFonts w:hint="eastAsia"/>
                <w:szCs w:val="22"/>
                <w:lang w:eastAsia="zh-CN"/>
              </w:rPr>
              <w:t>、</w:t>
            </w:r>
            <w:r>
              <w:rPr>
                <w:rFonts w:hint="eastAsia"/>
                <w:szCs w:val="22"/>
              </w:rPr>
              <w:t>监视、测量和试验设备周期校验计划</w:t>
            </w:r>
            <w:r>
              <w:rPr>
                <w:rFonts w:hint="eastAsia"/>
                <w:szCs w:val="22"/>
                <w:lang w:eastAsia="zh-CN"/>
              </w:rPr>
              <w:t>、</w:t>
            </w:r>
            <w:r>
              <w:rPr>
                <w:rFonts w:hint="eastAsia"/>
                <w:szCs w:val="22"/>
              </w:rPr>
              <w:t>监视、测量和试验设备校准记录</w:t>
            </w:r>
            <w:r>
              <w:rPr>
                <w:rFonts w:hint="eastAsia"/>
                <w:szCs w:val="22"/>
                <w:lang w:eastAsia="zh-CN"/>
              </w:rPr>
              <w:t>等。</w:t>
            </w:r>
          </w:p>
          <w:p>
            <w:pPr>
              <w:ind w:left="210" w:leftChars="100" w:firstLine="210" w:firstLineChars="100"/>
              <w:rPr>
                <w:rFonts w:hint="eastAsia"/>
              </w:rPr>
            </w:pPr>
            <w:r>
              <w:rPr>
                <w:rFonts w:hint="eastAsia"/>
              </w:rPr>
              <w:t>保存各记录，按时间整理，放置在文件柜中，以便检索，目前保存完好。名称，编号构成记录的唯一性标识。</w:t>
            </w:r>
          </w:p>
          <w:p>
            <w:pPr>
              <w:pStyle w:val="4"/>
            </w:pP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1" w:hRule="atLeast"/>
          <w:jc w:val="center"/>
        </w:trPr>
        <w:tc>
          <w:tcPr>
            <w:tcW w:w="2160" w:type="dxa"/>
            <w:vAlign w:val="center"/>
          </w:tcPr>
          <w:p>
            <w:pPr>
              <w:rPr>
                <w:rFonts w:hint="eastAsia"/>
                <w:szCs w:val="21"/>
                <w:highlight w:val="none"/>
              </w:rPr>
            </w:pPr>
            <w:r>
              <w:rPr>
                <w:rFonts w:ascii="Times New Roman" w:hAnsi="Times New Roman" w:eastAsia="宋体" w:cs="Lucida Sans"/>
                <w:b w:val="0"/>
                <w:bCs/>
                <w:szCs w:val="20"/>
              </w:rPr>
              <w:t>环境和职业健康安全运行控制</w:t>
            </w:r>
          </w:p>
        </w:tc>
        <w:tc>
          <w:tcPr>
            <w:tcW w:w="960" w:type="dxa"/>
            <w:vAlign w:val="center"/>
          </w:tcPr>
          <w:p>
            <w:pPr>
              <w:rPr>
                <w:rFonts w:ascii="Times New Roman" w:hAnsi="Times New Roman" w:eastAsia="宋体" w:cs="Lucida Sans"/>
                <w:b w:val="0"/>
                <w:bCs/>
                <w:color w:val="auto"/>
                <w:szCs w:val="20"/>
              </w:rPr>
            </w:pPr>
            <w:r>
              <w:rPr>
                <w:rFonts w:hint="eastAsia" w:ascii="Times New Roman" w:hAnsi="Times New Roman" w:eastAsia="宋体" w:cs="Lucida Sans"/>
                <w:b w:val="0"/>
                <w:bCs/>
                <w:color w:val="auto"/>
                <w:szCs w:val="20"/>
              </w:rPr>
              <w:t>E</w:t>
            </w:r>
            <w:r>
              <w:rPr>
                <w:rFonts w:hint="eastAsia" w:cs="Lucida Sans"/>
                <w:b w:val="0"/>
                <w:bCs/>
                <w:color w:val="auto"/>
                <w:szCs w:val="20"/>
                <w:lang w:val="en-US" w:eastAsia="zh-CN"/>
              </w:rPr>
              <w:t>O</w:t>
            </w:r>
            <w:r>
              <w:rPr>
                <w:rFonts w:ascii="Times New Roman" w:hAnsi="Times New Roman" w:eastAsia="宋体" w:cs="Lucida Sans"/>
                <w:b w:val="0"/>
                <w:bCs/>
                <w:color w:val="auto"/>
                <w:szCs w:val="20"/>
              </w:rPr>
              <w:t>8.1</w:t>
            </w:r>
          </w:p>
          <w:p/>
        </w:tc>
        <w:tc>
          <w:tcPr>
            <w:tcW w:w="10694" w:type="dxa"/>
            <w:vAlign w:val="center"/>
          </w:tcPr>
          <w:p>
            <w:pPr>
              <w:ind w:firstLine="420" w:firstLineChars="200"/>
              <w:rPr>
                <w:rFonts w:hint="eastAsia"/>
                <w:b w:val="0"/>
                <w:bCs/>
                <w:sz w:val="21"/>
                <w:szCs w:val="21"/>
              </w:rPr>
            </w:pPr>
            <w:r>
              <w:rPr>
                <w:rFonts w:hint="eastAsia"/>
                <w:b w:val="0"/>
                <w:bCs/>
                <w:sz w:val="21"/>
                <w:szCs w:val="21"/>
              </w:rPr>
              <w:t>本部门执行节能降耗控制程序、固体废弃物控制程序、环境管理控制程序、档案管理制定合同管理制定、印章管理制度、代理工作办法项目管理手册</w:t>
            </w:r>
            <w:r>
              <w:rPr>
                <w:rFonts w:hint="eastAsia"/>
                <w:b w:val="0"/>
                <w:bCs/>
                <w:sz w:val="21"/>
                <w:szCs w:val="21"/>
                <w:lang w:val="en-GB"/>
              </w:rPr>
              <w:t>、车辆管理规定</w:t>
            </w:r>
            <w:r>
              <w:rPr>
                <w:rFonts w:hint="eastAsia"/>
                <w:b w:val="0"/>
                <w:bCs/>
                <w:sz w:val="21"/>
                <w:szCs w:val="21"/>
              </w:rPr>
              <w:t>等。</w:t>
            </w:r>
          </w:p>
          <w:p>
            <w:pPr>
              <w:ind w:firstLine="420" w:firstLineChars="200"/>
              <w:rPr>
                <w:rFonts w:ascii="宋体" w:hAnsi="宋体" w:cs="宋体"/>
                <w:b w:val="0"/>
                <w:bCs/>
                <w:sz w:val="21"/>
                <w:szCs w:val="21"/>
                <w:lang w:val="en-GB"/>
              </w:rPr>
            </w:pPr>
            <w:r>
              <w:rPr>
                <w:rFonts w:hint="eastAsia" w:ascii="宋体" w:hAnsi="宋体" w:cs="宋体"/>
                <w:b w:val="0"/>
                <w:bCs/>
                <w:sz w:val="21"/>
                <w:szCs w:val="21"/>
                <w:lang w:val="en-GB"/>
              </w:rPr>
              <w:t>运行控制情况：办公过程注意节约用电，做到人走灯灭，电脑长时间不用时关机，下班前要关闭电源；办公区域内配置的灭火器,在有效期内。</w:t>
            </w:r>
          </w:p>
          <w:p>
            <w:pPr>
              <w:ind w:firstLine="420" w:firstLineChars="200"/>
              <w:rPr>
                <w:rFonts w:hint="eastAsia" w:ascii="宋体" w:hAnsi="宋体" w:cs="宋体"/>
                <w:b w:val="0"/>
                <w:bCs/>
                <w:sz w:val="21"/>
                <w:szCs w:val="21"/>
                <w:lang w:val="en-GB"/>
              </w:rPr>
            </w:pPr>
            <w:r>
              <w:rPr>
                <w:rFonts w:hint="eastAsia" w:ascii="宋体" w:hAnsi="宋体" w:cs="宋体"/>
                <w:b w:val="0"/>
                <w:bCs/>
                <w:sz w:val="21"/>
                <w:szCs w:val="21"/>
              </w:rPr>
              <w:t>办公过程使用的电器如：空调、电脑、灯具均符合安全设计要求，使用过程注意安全，预防触电，工作时间平均每天8小时；</w:t>
            </w:r>
          </w:p>
          <w:p>
            <w:pPr>
              <w:ind w:firstLine="420" w:firstLineChars="200"/>
              <w:rPr>
                <w:rFonts w:hint="eastAsia" w:ascii="宋体" w:hAnsi="宋体" w:cs="宋体"/>
                <w:b w:val="0"/>
                <w:bCs/>
                <w:sz w:val="21"/>
                <w:szCs w:val="21"/>
                <w:lang w:val="en-GB"/>
              </w:rPr>
            </w:pPr>
            <w:r>
              <w:rPr>
                <w:rFonts w:hint="eastAsia" w:ascii="宋体" w:hAnsi="宋体" w:cs="宋体"/>
                <w:b w:val="0"/>
                <w:bCs/>
                <w:sz w:val="21"/>
                <w:szCs w:val="21"/>
                <w:lang w:val="en-GB"/>
              </w:rPr>
              <w:t>办公用品按要求由</w:t>
            </w:r>
            <w:r>
              <w:rPr>
                <w:rFonts w:hint="eastAsia" w:ascii="宋体" w:hAnsi="宋体" w:cs="宋体"/>
                <w:b w:val="0"/>
                <w:bCs/>
                <w:sz w:val="21"/>
                <w:szCs w:val="21"/>
                <w:lang w:eastAsia="zh-CN"/>
              </w:rPr>
              <w:t>厂办</w:t>
            </w:r>
            <w:r>
              <w:rPr>
                <w:rFonts w:hint="eastAsia" w:ascii="宋体" w:hAnsi="宋体" w:cs="宋体"/>
                <w:b w:val="0"/>
                <w:bCs/>
                <w:sz w:val="21"/>
                <w:szCs w:val="21"/>
                <w:lang w:val="en-GB"/>
              </w:rPr>
              <w:t>负责发放，作好记录；</w:t>
            </w:r>
          </w:p>
          <w:p>
            <w:pPr>
              <w:ind w:firstLine="420" w:firstLineChars="200"/>
              <w:rPr>
                <w:rFonts w:hint="eastAsia" w:ascii="宋体" w:hAnsi="宋体" w:cs="宋体"/>
                <w:b w:val="0"/>
                <w:bCs/>
                <w:sz w:val="21"/>
                <w:szCs w:val="21"/>
                <w:lang w:val="en-GB"/>
              </w:rPr>
            </w:pPr>
            <w:r>
              <w:rPr>
                <w:rFonts w:hint="eastAsia" w:ascii="宋体" w:hAnsi="宋体" w:cs="宋体"/>
                <w:b w:val="0"/>
                <w:bCs/>
                <w:sz w:val="21"/>
                <w:szCs w:val="21"/>
                <w:lang w:val="en-GB"/>
              </w:rPr>
              <w:t>相关方施加影响：公司能够控制或能够施加影响的相关方有周边商户、固体废弃物处理等。提供了“致相关方的公开信”，将公司关于办公用品采购、固体废弃物处理等方面环境控制要求发放到了周边商户，督促影响各相关方按照环境管理体系要求对环境施加影响。</w:t>
            </w:r>
          </w:p>
          <w:p>
            <w:pPr>
              <w:ind w:firstLine="420" w:firstLineChars="200"/>
              <w:rPr>
                <w:rFonts w:hint="eastAsia" w:ascii="宋体" w:hAnsi="宋体" w:cs="宋体"/>
                <w:b w:val="0"/>
                <w:bCs/>
                <w:sz w:val="21"/>
                <w:szCs w:val="21"/>
                <w:lang w:val="en-GB"/>
              </w:rPr>
            </w:pPr>
            <w:r>
              <w:rPr>
                <w:rFonts w:hint="eastAsia" w:ascii="宋体" w:hAnsi="宋体" w:cs="宋体"/>
                <w:b w:val="0"/>
                <w:bCs/>
                <w:sz w:val="21"/>
                <w:szCs w:val="21"/>
                <w:lang w:val="en-GB"/>
              </w:rPr>
              <w:t>公司办公产生的废硒鼓、废墨盒、色带由供应方公司回收；</w:t>
            </w:r>
          </w:p>
          <w:p>
            <w:pPr>
              <w:rPr>
                <w:rFonts w:hint="default" w:ascii="宋体" w:hAnsi="宋体" w:eastAsia="宋体" w:cs="宋体"/>
                <w:b w:val="0"/>
                <w:bCs/>
                <w:sz w:val="21"/>
                <w:szCs w:val="21"/>
                <w:lang w:val="en-US" w:eastAsia="zh-CN"/>
              </w:rPr>
            </w:pPr>
            <w:r>
              <w:rPr>
                <w:rFonts w:hint="eastAsia" w:ascii="宋体" w:hAnsi="宋体" w:cs="宋体"/>
                <w:b w:val="0"/>
                <w:bCs/>
                <w:sz w:val="21"/>
                <w:szCs w:val="21"/>
              </w:rPr>
              <w:t>查：废弃物回收处理登记表</w:t>
            </w:r>
            <w:r>
              <w:rPr>
                <w:rFonts w:hint="eastAsia" w:ascii="宋体" w:hAnsi="宋体" w:cs="宋体"/>
                <w:b w:val="0"/>
                <w:bCs/>
                <w:sz w:val="21"/>
                <w:szCs w:val="21"/>
                <w:lang w:val="en-US" w:eastAsia="zh-CN"/>
              </w:rPr>
              <w:t>,无异常</w:t>
            </w:r>
          </w:p>
          <w:p>
            <w:pPr>
              <w:ind w:firstLine="420" w:firstLineChars="200"/>
              <w:rPr>
                <w:rFonts w:hint="eastAsia" w:ascii="宋体" w:hAnsi="宋体" w:cs="宋体"/>
                <w:b w:val="0"/>
                <w:bCs/>
                <w:sz w:val="21"/>
                <w:szCs w:val="21"/>
              </w:rPr>
            </w:pPr>
            <w:r>
              <w:rPr>
                <w:rFonts w:hint="eastAsia" w:ascii="宋体" w:hAnsi="宋体" w:cs="宋体"/>
                <w:b w:val="0"/>
                <w:bCs/>
                <w:sz w:val="21"/>
                <w:szCs w:val="21"/>
              </w:rPr>
              <w:t>驾驶员要求遵守道路交通安全法，不违章驾车，驾驶证和车辆定期年审，确保行车安全。</w:t>
            </w:r>
          </w:p>
          <w:p>
            <w:pPr>
              <w:ind w:firstLine="420" w:firstLineChars="200"/>
              <w:rPr>
                <w:rFonts w:ascii="宋体" w:hAnsi="宋体" w:cs="宋体"/>
                <w:b w:val="0"/>
                <w:bCs/>
                <w:sz w:val="21"/>
                <w:szCs w:val="21"/>
              </w:rPr>
            </w:pPr>
            <w:r>
              <w:rPr>
                <w:rFonts w:hint="eastAsia" w:ascii="宋体" w:hAnsi="宋体" w:cs="宋体"/>
                <w:b w:val="0"/>
                <w:bCs/>
                <w:sz w:val="21"/>
                <w:szCs w:val="21"/>
              </w:rPr>
              <w:t>现场查看办公区域配备有符合要求的灭火器，综合办设备、电器状态良好，无安全隐患。</w:t>
            </w:r>
          </w:p>
          <w:p>
            <w:pPr>
              <w:pStyle w:val="2"/>
              <w:ind w:firstLine="420" w:firstLineChars="200"/>
            </w:pPr>
            <w:r>
              <w:rPr>
                <w:rFonts w:hint="eastAsia" w:ascii="宋体" w:hAnsi="宋体" w:cs="宋体"/>
                <w:b w:val="0"/>
                <w:bCs/>
                <w:spacing w:val="0"/>
                <w:sz w:val="21"/>
                <w:szCs w:val="21"/>
              </w:rPr>
              <w:t>提供了工作环境检查表，抽查：</w:t>
            </w:r>
            <w:r>
              <w:rPr>
                <w:rFonts w:hint="eastAsia" w:ascii="宋体" w:hAnsi="宋体" w:cs="宋体"/>
                <w:b w:val="0"/>
                <w:bCs/>
                <w:spacing w:val="0"/>
                <w:sz w:val="21"/>
                <w:szCs w:val="21"/>
                <w:lang w:val="en-US" w:eastAsia="zh-CN"/>
              </w:rPr>
              <w:t>2020年7月-8月</w:t>
            </w:r>
            <w:r>
              <w:rPr>
                <w:rFonts w:hint="eastAsia" w:ascii="宋体" w:hAnsi="宋体" w:cs="宋体"/>
                <w:b w:val="0"/>
                <w:bCs/>
                <w:spacing w:val="0"/>
                <w:sz w:val="21"/>
                <w:szCs w:val="21"/>
              </w:rPr>
              <w:t>的检查表，对办公环境、卫生等情况进行了检查，无</w:t>
            </w:r>
            <w:r>
              <w:rPr>
                <w:rFonts w:hint="eastAsia" w:ascii="宋体" w:hAnsi="宋体" w:cs="宋体"/>
                <w:b w:val="0"/>
                <w:bCs/>
                <w:spacing w:val="0"/>
                <w:sz w:val="21"/>
                <w:szCs w:val="21"/>
                <w:lang w:val="en-US" w:eastAsia="zh-CN"/>
              </w:rPr>
              <w:t>严重</w:t>
            </w:r>
            <w:r>
              <w:rPr>
                <w:rFonts w:hint="eastAsia" w:ascii="宋体" w:hAnsi="宋体" w:cs="宋体"/>
                <w:b w:val="0"/>
                <w:bCs/>
                <w:spacing w:val="0"/>
                <w:sz w:val="21"/>
                <w:szCs w:val="21"/>
              </w:rPr>
              <w:t>问题</w:t>
            </w:r>
            <w:r>
              <w:rPr>
                <w:rFonts w:hint="eastAsia" w:ascii="宋体" w:hAnsi="宋体" w:cs="宋体"/>
                <w:b w:val="0"/>
                <w:bCs/>
                <w:spacing w:val="0"/>
                <w:sz w:val="21"/>
                <w:szCs w:val="21"/>
                <w:lang w:eastAsia="zh-CN"/>
              </w:rPr>
              <w:t>，</w:t>
            </w:r>
            <w:r>
              <w:rPr>
                <w:rFonts w:hint="eastAsia" w:ascii="宋体" w:hAnsi="宋体" w:cs="宋体"/>
                <w:b w:val="0"/>
                <w:bCs/>
                <w:spacing w:val="0"/>
                <w:sz w:val="21"/>
                <w:szCs w:val="21"/>
                <w:lang w:val="en-US" w:eastAsia="zh-CN"/>
              </w:rPr>
              <w:t>一般问题已经解决关闭</w:t>
            </w:r>
            <w:r>
              <w:rPr>
                <w:rFonts w:hint="eastAsia" w:ascii="宋体" w:hAnsi="宋体" w:cs="宋体"/>
                <w:b w:val="0"/>
                <w:bCs/>
                <w:spacing w:val="0"/>
                <w:sz w:val="21"/>
                <w:szCs w:val="21"/>
              </w:rPr>
              <w:t>。</w:t>
            </w:r>
          </w:p>
        </w:tc>
        <w:tc>
          <w:tcPr>
            <w:tcW w:w="89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160" w:type="dxa"/>
            <w:vAlign w:val="center"/>
          </w:tcPr>
          <w:p>
            <w:pPr>
              <w:rPr>
                <w:rFonts w:hint="eastAsia"/>
                <w:szCs w:val="21"/>
                <w:highlight w:val="none"/>
              </w:rPr>
            </w:pPr>
            <w:r>
              <w:rPr>
                <w:rFonts w:hint="eastAsia" w:asciiTheme="minorEastAsia" w:hAnsiTheme="minorEastAsia" w:eastAsiaTheme="minorEastAsia" w:cstheme="minorEastAsia"/>
                <w:szCs w:val="21"/>
              </w:rPr>
              <w:t>应急准备和响应</w:t>
            </w:r>
          </w:p>
        </w:tc>
        <w:tc>
          <w:tcPr>
            <w:tcW w:w="960" w:type="dxa"/>
            <w:vAlign w:val="center"/>
          </w:tcPr>
          <w:p>
            <w:r>
              <w:rPr>
                <w:rFonts w:hint="eastAsia" w:asciiTheme="minorEastAsia" w:hAnsiTheme="minorEastAsia" w:eastAsiaTheme="minorEastAsia" w:cstheme="minorEastAsia"/>
                <w:szCs w:val="21"/>
              </w:rPr>
              <w:t>EO8.2</w:t>
            </w:r>
          </w:p>
        </w:tc>
        <w:tc>
          <w:tcPr>
            <w:tcW w:w="10694" w:type="dxa"/>
            <w:vAlign w:val="center"/>
          </w:tcPr>
          <w:p>
            <w:pPr>
              <w:pStyle w:val="2"/>
            </w:pPr>
            <w:r>
              <w:rPr>
                <w:rFonts w:hint="eastAsia" w:ascii="宋体" w:hAnsi="宋体" w:cs="宋体"/>
                <w:bCs w:val="0"/>
                <w:spacing w:val="0"/>
                <w:szCs w:val="21"/>
              </w:rPr>
              <w:t>参加了应急预案演练，详见办公室审核记录。</w:t>
            </w:r>
          </w:p>
        </w:tc>
        <w:tc>
          <w:tcPr>
            <w:tcW w:w="895" w:type="dxa"/>
          </w:tcPr>
          <w:p/>
        </w:tc>
      </w:tr>
    </w:tbl>
    <w:p>
      <w:r>
        <w:ptab w:relativeTo="margin" w:alignment="center" w:leader="none"/>
      </w:r>
      <w:bookmarkStart w:id="0" w:name="_GoBack"/>
      <w:bookmarkEnd w:id="0"/>
    </w:p>
    <w:p>
      <w:pPr>
        <w:pStyle w:val="8"/>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15</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15</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9"/>
      <w:pBdr>
        <w:bottom w:val="none" w:color="auto" w:sz="0" w:space="1"/>
      </w:pBdr>
      <w:spacing w:line="320" w:lineRule="exact"/>
      <w:jc w:val="left"/>
    </w:pPr>
    <w:r>
      <w:pict>
        <v:shape id="文本框 1" o:spid="_x0000_s4097" o:spt="202" type="#_x0000_t202" style="position:absolute;left:0pt;margin-left:554.75pt;margin-top:2.2pt;height:20.2pt;width:172pt;z-index:251661312;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ISC-B-I-19 管理体系审核记录表(03版)</w:t>
                </w:r>
              </w:p>
            </w:txbxContent>
          </v:textbox>
        </v:shape>
      </w:pict>
    </w:r>
    <w:r>
      <w:rPr>
        <w:rStyle w:val="16"/>
        <w:rFonts w:hint="default"/>
        <w:w w:val="90"/>
      </w:rPr>
      <w:t>Beijing International Standard united Certification Co.,Ltd.</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none"/>
      <w:pStyle w:val="23"/>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8B101C1"/>
    <w:multiLevelType w:val="singleLevel"/>
    <w:tmpl w:val="18B101C1"/>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17A34"/>
    <w:rsid w:val="000237F6"/>
    <w:rsid w:val="00024C50"/>
    <w:rsid w:val="0003373A"/>
    <w:rsid w:val="00036143"/>
    <w:rsid w:val="00046917"/>
    <w:rsid w:val="00071661"/>
    <w:rsid w:val="00090528"/>
    <w:rsid w:val="000A53EB"/>
    <w:rsid w:val="000B0723"/>
    <w:rsid w:val="00181E98"/>
    <w:rsid w:val="00193307"/>
    <w:rsid w:val="001A2D7F"/>
    <w:rsid w:val="001E6B5E"/>
    <w:rsid w:val="001F0932"/>
    <w:rsid w:val="002426BC"/>
    <w:rsid w:val="002539A0"/>
    <w:rsid w:val="00292C83"/>
    <w:rsid w:val="002B311A"/>
    <w:rsid w:val="002E1F88"/>
    <w:rsid w:val="003022CC"/>
    <w:rsid w:val="00337922"/>
    <w:rsid w:val="00340867"/>
    <w:rsid w:val="003518B5"/>
    <w:rsid w:val="00366399"/>
    <w:rsid w:val="00375E04"/>
    <w:rsid w:val="00380837"/>
    <w:rsid w:val="00384E2C"/>
    <w:rsid w:val="003A198A"/>
    <w:rsid w:val="003B3E99"/>
    <w:rsid w:val="003D3E93"/>
    <w:rsid w:val="00410914"/>
    <w:rsid w:val="00440658"/>
    <w:rsid w:val="00464DDE"/>
    <w:rsid w:val="004674DB"/>
    <w:rsid w:val="00470352"/>
    <w:rsid w:val="00484369"/>
    <w:rsid w:val="004920B1"/>
    <w:rsid w:val="004B720C"/>
    <w:rsid w:val="004E5837"/>
    <w:rsid w:val="00526127"/>
    <w:rsid w:val="00536930"/>
    <w:rsid w:val="00564E53"/>
    <w:rsid w:val="005D203C"/>
    <w:rsid w:val="0060324D"/>
    <w:rsid w:val="00644FE2"/>
    <w:rsid w:val="00646FEC"/>
    <w:rsid w:val="00662A0A"/>
    <w:rsid w:val="00674B11"/>
    <w:rsid w:val="0067640C"/>
    <w:rsid w:val="006836CF"/>
    <w:rsid w:val="006E678B"/>
    <w:rsid w:val="006F2701"/>
    <w:rsid w:val="0072147E"/>
    <w:rsid w:val="0072416A"/>
    <w:rsid w:val="00746279"/>
    <w:rsid w:val="007757F3"/>
    <w:rsid w:val="00792877"/>
    <w:rsid w:val="00797420"/>
    <w:rsid w:val="007A1DA8"/>
    <w:rsid w:val="007A5046"/>
    <w:rsid w:val="007D25D3"/>
    <w:rsid w:val="007E6AEB"/>
    <w:rsid w:val="007F14F1"/>
    <w:rsid w:val="008012C2"/>
    <w:rsid w:val="00815D2E"/>
    <w:rsid w:val="00825954"/>
    <w:rsid w:val="00862507"/>
    <w:rsid w:val="008973EE"/>
    <w:rsid w:val="00951B47"/>
    <w:rsid w:val="00971600"/>
    <w:rsid w:val="00976228"/>
    <w:rsid w:val="009973B4"/>
    <w:rsid w:val="009C28C1"/>
    <w:rsid w:val="009E5A60"/>
    <w:rsid w:val="009F0149"/>
    <w:rsid w:val="009F2F86"/>
    <w:rsid w:val="009F7EED"/>
    <w:rsid w:val="00A02F21"/>
    <w:rsid w:val="00A276A6"/>
    <w:rsid w:val="00A3294E"/>
    <w:rsid w:val="00A51134"/>
    <w:rsid w:val="00AF0AAB"/>
    <w:rsid w:val="00B1087D"/>
    <w:rsid w:val="00B160FB"/>
    <w:rsid w:val="00B16488"/>
    <w:rsid w:val="00B1795C"/>
    <w:rsid w:val="00B32E56"/>
    <w:rsid w:val="00B475D1"/>
    <w:rsid w:val="00B6150E"/>
    <w:rsid w:val="00B73A93"/>
    <w:rsid w:val="00B95A05"/>
    <w:rsid w:val="00BB0BC9"/>
    <w:rsid w:val="00BC6844"/>
    <w:rsid w:val="00BE29A2"/>
    <w:rsid w:val="00BF597E"/>
    <w:rsid w:val="00C5177A"/>
    <w:rsid w:val="00C51A36"/>
    <w:rsid w:val="00C55228"/>
    <w:rsid w:val="00C80696"/>
    <w:rsid w:val="00CA1D28"/>
    <w:rsid w:val="00CD0F2B"/>
    <w:rsid w:val="00CD278B"/>
    <w:rsid w:val="00CE315A"/>
    <w:rsid w:val="00CE6D06"/>
    <w:rsid w:val="00CF776D"/>
    <w:rsid w:val="00D06F59"/>
    <w:rsid w:val="00D11C38"/>
    <w:rsid w:val="00D77D72"/>
    <w:rsid w:val="00D8388C"/>
    <w:rsid w:val="00DA2A63"/>
    <w:rsid w:val="00DB65E4"/>
    <w:rsid w:val="00DF2EA5"/>
    <w:rsid w:val="00E7307B"/>
    <w:rsid w:val="00E754A7"/>
    <w:rsid w:val="00E80CCA"/>
    <w:rsid w:val="00E93330"/>
    <w:rsid w:val="00E954C4"/>
    <w:rsid w:val="00EB0164"/>
    <w:rsid w:val="00ED0F62"/>
    <w:rsid w:val="00F305C2"/>
    <w:rsid w:val="00F95653"/>
    <w:rsid w:val="00FB3DD3"/>
    <w:rsid w:val="00FC02C4"/>
    <w:rsid w:val="00FD726A"/>
    <w:rsid w:val="00FF050E"/>
    <w:rsid w:val="02B84719"/>
    <w:rsid w:val="02FA6253"/>
    <w:rsid w:val="032C3757"/>
    <w:rsid w:val="036603D4"/>
    <w:rsid w:val="045E4F82"/>
    <w:rsid w:val="04617F72"/>
    <w:rsid w:val="04C04927"/>
    <w:rsid w:val="05B11F2A"/>
    <w:rsid w:val="05F70356"/>
    <w:rsid w:val="06400A4B"/>
    <w:rsid w:val="06B82DB2"/>
    <w:rsid w:val="06E01EC3"/>
    <w:rsid w:val="08296EC1"/>
    <w:rsid w:val="09535250"/>
    <w:rsid w:val="09806D23"/>
    <w:rsid w:val="0A400EB5"/>
    <w:rsid w:val="0B156FC6"/>
    <w:rsid w:val="0B256D46"/>
    <w:rsid w:val="0BB74A17"/>
    <w:rsid w:val="0C1821A1"/>
    <w:rsid w:val="0C5F0639"/>
    <w:rsid w:val="0C85106D"/>
    <w:rsid w:val="0CAB3A70"/>
    <w:rsid w:val="0D66233C"/>
    <w:rsid w:val="0D8B1FB3"/>
    <w:rsid w:val="0F0045E0"/>
    <w:rsid w:val="0F6442AD"/>
    <w:rsid w:val="0FDA7F53"/>
    <w:rsid w:val="108219C2"/>
    <w:rsid w:val="11705116"/>
    <w:rsid w:val="11DC56E5"/>
    <w:rsid w:val="127051AD"/>
    <w:rsid w:val="15110FDA"/>
    <w:rsid w:val="155A19C5"/>
    <w:rsid w:val="16D40BDC"/>
    <w:rsid w:val="17B15042"/>
    <w:rsid w:val="17B20018"/>
    <w:rsid w:val="18DB38B5"/>
    <w:rsid w:val="18FA2BF5"/>
    <w:rsid w:val="1A120A39"/>
    <w:rsid w:val="1AD215C7"/>
    <w:rsid w:val="1B2C7B1C"/>
    <w:rsid w:val="1C382A81"/>
    <w:rsid w:val="1C9868E8"/>
    <w:rsid w:val="1E295883"/>
    <w:rsid w:val="1E565434"/>
    <w:rsid w:val="1E90527F"/>
    <w:rsid w:val="1F025B8B"/>
    <w:rsid w:val="1F7830A7"/>
    <w:rsid w:val="21747ECE"/>
    <w:rsid w:val="21973C6B"/>
    <w:rsid w:val="22017E7F"/>
    <w:rsid w:val="22223BA9"/>
    <w:rsid w:val="23544896"/>
    <w:rsid w:val="235E7C88"/>
    <w:rsid w:val="2432182D"/>
    <w:rsid w:val="24335034"/>
    <w:rsid w:val="246B6135"/>
    <w:rsid w:val="24FE116D"/>
    <w:rsid w:val="26E4625C"/>
    <w:rsid w:val="27B53290"/>
    <w:rsid w:val="28A46FFC"/>
    <w:rsid w:val="29A06FDB"/>
    <w:rsid w:val="2A134B34"/>
    <w:rsid w:val="2A712F0F"/>
    <w:rsid w:val="2A716A71"/>
    <w:rsid w:val="2B256E87"/>
    <w:rsid w:val="2B2E2752"/>
    <w:rsid w:val="2B9022F9"/>
    <w:rsid w:val="2BFC024F"/>
    <w:rsid w:val="2C4F03EE"/>
    <w:rsid w:val="2C9B1E1D"/>
    <w:rsid w:val="2F4B0E69"/>
    <w:rsid w:val="30D16CC5"/>
    <w:rsid w:val="31C028B0"/>
    <w:rsid w:val="335A51AA"/>
    <w:rsid w:val="37476F8A"/>
    <w:rsid w:val="37E07F07"/>
    <w:rsid w:val="38610411"/>
    <w:rsid w:val="38AA56C2"/>
    <w:rsid w:val="38E10519"/>
    <w:rsid w:val="39827C37"/>
    <w:rsid w:val="3C125F9B"/>
    <w:rsid w:val="3C1959EB"/>
    <w:rsid w:val="3C3C0F86"/>
    <w:rsid w:val="3D2F613A"/>
    <w:rsid w:val="3E1444F6"/>
    <w:rsid w:val="3F3B2173"/>
    <w:rsid w:val="3F882D3C"/>
    <w:rsid w:val="40715AC8"/>
    <w:rsid w:val="40B67F76"/>
    <w:rsid w:val="415E2F32"/>
    <w:rsid w:val="41AB58C1"/>
    <w:rsid w:val="41E277AB"/>
    <w:rsid w:val="429A35A3"/>
    <w:rsid w:val="42DA7B35"/>
    <w:rsid w:val="435C1130"/>
    <w:rsid w:val="43BF2E23"/>
    <w:rsid w:val="442828E9"/>
    <w:rsid w:val="444C757B"/>
    <w:rsid w:val="479741AE"/>
    <w:rsid w:val="49BA3960"/>
    <w:rsid w:val="4A011734"/>
    <w:rsid w:val="4A0F666A"/>
    <w:rsid w:val="4B4B30DE"/>
    <w:rsid w:val="4BFA763C"/>
    <w:rsid w:val="4C4035AE"/>
    <w:rsid w:val="4DDC3C53"/>
    <w:rsid w:val="4E6312F5"/>
    <w:rsid w:val="4F7F35B2"/>
    <w:rsid w:val="51031C4C"/>
    <w:rsid w:val="51A3128D"/>
    <w:rsid w:val="52B24340"/>
    <w:rsid w:val="531E1C63"/>
    <w:rsid w:val="56311B54"/>
    <w:rsid w:val="56AE40B9"/>
    <w:rsid w:val="5949498B"/>
    <w:rsid w:val="59A85EFD"/>
    <w:rsid w:val="5ACA5AA1"/>
    <w:rsid w:val="5C9F5764"/>
    <w:rsid w:val="5D86343D"/>
    <w:rsid w:val="5DB12D14"/>
    <w:rsid w:val="5E122B4B"/>
    <w:rsid w:val="5E7538CA"/>
    <w:rsid w:val="5EA12B9A"/>
    <w:rsid w:val="5EC928D3"/>
    <w:rsid w:val="5F425B73"/>
    <w:rsid w:val="5F447A9C"/>
    <w:rsid w:val="5F5C48D2"/>
    <w:rsid w:val="5F6A1134"/>
    <w:rsid w:val="5F8E191F"/>
    <w:rsid w:val="5F9641CD"/>
    <w:rsid w:val="613B6C91"/>
    <w:rsid w:val="620C032C"/>
    <w:rsid w:val="628D2779"/>
    <w:rsid w:val="628D5F03"/>
    <w:rsid w:val="64A94EA1"/>
    <w:rsid w:val="64F43146"/>
    <w:rsid w:val="654A5507"/>
    <w:rsid w:val="658C10F3"/>
    <w:rsid w:val="65CA104B"/>
    <w:rsid w:val="66117546"/>
    <w:rsid w:val="66356363"/>
    <w:rsid w:val="66972AAF"/>
    <w:rsid w:val="677E4DCB"/>
    <w:rsid w:val="679C4299"/>
    <w:rsid w:val="68BB08C9"/>
    <w:rsid w:val="6A28647F"/>
    <w:rsid w:val="6A4140D3"/>
    <w:rsid w:val="6A5D69B2"/>
    <w:rsid w:val="6A7021FA"/>
    <w:rsid w:val="6C093A05"/>
    <w:rsid w:val="6C190135"/>
    <w:rsid w:val="6DA65F1D"/>
    <w:rsid w:val="6E031C73"/>
    <w:rsid w:val="6E116960"/>
    <w:rsid w:val="6E6B6A6E"/>
    <w:rsid w:val="6EE8797B"/>
    <w:rsid w:val="6F8D04E6"/>
    <w:rsid w:val="6FF46E59"/>
    <w:rsid w:val="7051627C"/>
    <w:rsid w:val="70CA3520"/>
    <w:rsid w:val="71F75030"/>
    <w:rsid w:val="73E237A4"/>
    <w:rsid w:val="73E9008B"/>
    <w:rsid w:val="75A27521"/>
    <w:rsid w:val="76A44DBB"/>
    <w:rsid w:val="76C24502"/>
    <w:rsid w:val="772935FE"/>
    <w:rsid w:val="77806F2A"/>
    <w:rsid w:val="77F7382C"/>
    <w:rsid w:val="789A4747"/>
    <w:rsid w:val="79CC1A93"/>
    <w:rsid w:val="7A0E74A5"/>
    <w:rsid w:val="7A42130E"/>
    <w:rsid w:val="7AA9407D"/>
    <w:rsid w:val="7ABE7B81"/>
    <w:rsid w:val="7B1F087B"/>
    <w:rsid w:val="7B3C51BC"/>
    <w:rsid w:val="7B53369F"/>
    <w:rsid w:val="7B760BF0"/>
    <w:rsid w:val="7B8757FC"/>
    <w:rsid w:val="7C046C2A"/>
    <w:rsid w:val="7C483276"/>
    <w:rsid w:val="7C4D08BC"/>
    <w:rsid w:val="7D590E23"/>
    <w:rsid w:val="7DAC6B0C"/>
    <w:rsid w:val="7DAD46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tabs>
        <w:tab w:val="left" w:pos="3510"/>
        <w:tab w:val="left" w:pos="3585"/>
        <w:tab w:val="center" w:pos="4410"/>
        <w:tab w:val="left" w:pos="4620"/>
        <w:tab w:val="left" w:pos="4830"/>
        <w:tab w:val="left" w:pos="5580"/>
      </w:tabs>
      <w:outlineLvl w:val="1"/>
    </w:pPr>
    <w:rPr>
      <w:rFonts w:ascii="Calibri" w:hAnsi="Calibri"/>
      <w:b/>
      <w:bCs/>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5">
    <w:name w:val="Body Text Indent"/>
    <w:basedOn w:val="1"/>
    <w:qFormat/>
    <w:uiPriority w:val="0"/>
    <w:pPr>
      <w:ind w:firstLine="560" w:firstLineChars="200"/>
    </w:pPr>
    <w:rPr>
      <w:rFonts w:ascii="宋体" w:hAnsi="宋体"/>
      <w:color w:val="FF0000"/>
      <w:sz w:val="28"/>
    </w:rPr>
  </w:style>
  <w:style w:type="paragraph" w:styleId="6">
    <w:name w:val="Plain Text"/>
    <w:basedOn w:val="1"/>
    <w:qFormat/>
    <w:uiPriority w:val="0"/>
    <w:rPr>
      <w:rFonts w:ascii="宋体" w:hAnsi="Courier New"/>
      <w:sz w:val="24"/>
    </w:rPr>
  </w:style>
  <w:style w:type="paragraph" w:styleId="7">
    <w:name w:val="Balloon Text"/>
    <w:basedOn w:val="1"/>
    <w:link w:val="15"/>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Body Text First Indent 2"/>
    <w:basedOn w:val="5"/>
    <w:qFormat/>
    <w:uiPriority w:val="0"/>
    <w:pPr>
      <w:ind w:firstLine="420"/>
      <w:jc w:val="left"/>
    </w:pPr>
    <w:rPr>
      <w:rFonts w:eastAsia="仿宋_GB2312"/>
      <w:color w:val="000000"/>
    </w:rPr>
  </w:style>
  <w:style w:type="character" w:customStyle="1" w:styleId="13">
    <w:name w:val="页眉 Char"/>
    <w:basedOn w:val="12"/>
    <w:link w:val="9"/>
    <w:qFormat/>
    <w:uiPriority w:val="99"/>
    <w:rPr>
      <w:rFonts w:ascii="Times New Roman" w:hAnsi="Times New Roman" w:eastAsia="宋体" w:cs="Times New Roman"/>
      <w:sz w:val="18"/>
      <w:szCs w:val="18"/>
    </w:rPr>
  </w:style>
  <w:style w:type="character" w:customStyle="1" w:styleId="14">
    <w:name w:val="页脚 Char"/>
    <w:basedOn w:val="12"/>
    <w:link w:val="8"/>
    <w:qFormat/>
    <w:uiPriority w:val="99"/>
    <w:rPr>
      <w:rFonts w:ascii="Times New Roman" w:hAnsi="Times New Roman" w:eastAsia="宋体" w:cs="Times New Roman"/>
      <w:sz w:val="18"/>
      <w:szCs w:val="18"/>
    </w:rPr>
  </w:style>
  <w:style w:type="character" w:customStyle="1" w:styleId="15">
    <w:name w:val="批注框文本 Char"/>
    <w:basedOn w:val="12"/>
    <w:link w:val="7"/>
    <w:semiHidden/>
    <w:qFormat/>
    <w:uiPriority w:val="99"/>
    <w:rPr>
      <w:rFonts w:ascii="Times New Roman" w:hAnsi="Times New Roman" w:eastAsia="宋体" w:cs="Times New Roman"/>
      <w:sz w:val="18"/>
      <w:szCs w:val="18"/>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_Style 2"/>
    <w:basedOn w:val="1"/>
    <w:qFormat/>
    <w:uiPriority w:val="34"/>
    <w:pPr>
      <w:widowControl/>
      <w:ind w:firstLine="420" w:firstLineChars="200"/>
      <w:jc w:val="left"/>
    </w:pPr>
    <w:rPr>
      <w:kern w:val="0"/>
      <w:sz w:val="20"/>
      <w:lang w:eastAsia="en-US"/>
    </w:rPr>
  </w:style>
  <w:style w:type="character" w:customStyle="1" w:styleId="18">
    <w:name w:val="info-content-text"/>
    <w:qFormat/>
    <w:uiPriority w:val="0"/>
  </w:style>
  <w:style w:type="character" w:customStyle="1" w:styleId="19">
    <w:name w:val="标题 1 Char"/>
    <w:basedOn w:val="12"/>
    <w:link w:val="3"/>
    <w:qFormat/>
    <w:uiPriority w:val="0"/>
    <w:rPr>
      <w:b/>
      <w:bCs/>
      <w:kern w:val="44"/>
      <w:sz w:val="44"/>
      <w:szCs w:val="44"/>
    </w:rPr>
  </w:style>
  <w:style w:type="paragraph" w:styleId="20">
    <w:name w:val="List Paragraph"/>
    <w:basedOn w:val="1"/>
    <w:qFormat/>
    <w:uiPriority w:val="99"/>
    <w:pPr>
      <w:ind w:firstLine="420" w:firstLineChars="200"/>
    </w:pPr>
  </w:style>
  <w:style w:type="paragraph" w:customStyle="1" w:styleId="21">
    <w:name w:val="列出段落1"/>
    <w:basedOn w:val="1"/>
    <w:qFormat/>
    <w:uiPriority w:val="34"/>
    <w:pPr>
      <w:ind w:firstLine="420" w:firstLineChars="200"/>
    </w:pPr>
    <w:rPr>
      <w:rFonts w:asciiTheme="minorHAnsi" w:hAnsiTheme="minorHAnsi" w:eastAsiaTheme="minorEastAsia" w:cstheme="minorBidi"/>
      <w:szCs w:val="22"/>
    </w:rPr>
  </w:style>
  <w:style w:type="paragraph" w:customStyle="1" w:styleId="22">
    <w:name w:val="默认段落字体 Para Char Char Char1 Char"/>
    <w:basedOn w:val="1"/>
    <w:next w:val="1"/>
    <w:qFormat/>
    <w:uiPriority w:val="0"/>
    <w:pPr>
      <w:spacing w:line="240" w:lineRule="atLeast"/>
      <w:ind w:left="420" w:firstLine="420"/>
      <w:jc w:val="left"/>
    </w:pPr>
    <w:rPr>
      <w:szCs w:val="24"/>
    </w:rPr>
  </w:style>
  <w:style w:type="paragraph" w:customStyle="1" w:styleId="23">
    <w:name w:val="附录表标题"/>
    <w:next w:val="1"/>
    <w:qFormat/>
    <w:uiPriority w:val="0"/>
    <w:pPr>
      <w:numPr>
        <w:ilvl w:val="0"/>
        <w:numId w:val="1"/>
      </w:numPr>
      <w:jc w:val="center"/>
      <w:textAlignment w:val="baseline"/>
    </w:pPr>
    <w:rPr>
      <w:rFonts w:ascii="黑体" w:hAnsi="Times New Roman" w:eastAsia="黑体" w:cs="Times New Roman"/>
      <w:kern w:val="21"/>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3D6241C-A5A8-4A56-8A1B-A9D58B9DB204}">
  <ds:schemaRefs/>
</ds:datastoreItem>
</file>

<file path=docProps/app.xml><?xml version="1.0" encoding="utf-8"?>
<Properties xmlns="http://schemas.openxmlformats.org/officeDocument/2006/extended-properties" xmlns:vt="http://schemas.openxmlformats.org/officeDocument/2006/docPropsVTypes">
  <Template>Normal</Template>
  <Pages>15</Pages>
  <Words>1459</Words>
  <Characters>8319</Characters>
  <Lines>69</Lines>
  <Paragraphs>19</Paragraphs>
  <TotalTime>1</TotalTime>
  <ScaleCrop>false</ScaleCrop>
  <LinksUpToDate>false</LinksUpToDate>
  <CharactersWithSpaces>9759</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Joyce</cp:lastModifiedBy>
  <dcterms:modified xsi:type="dcterms:W3CDTF">2020-08-19T13:56:18Z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