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bCs/>
          <w:spacing w:val="20"/>
          <w:sz w:val="30"/>
          <w:szCs w:val="30"/>
        </w:rPr>
      </w:pPr>
      <w:r>
        <w:rPr>
          <w:rFonts w:hint="eastAsia" w:eastAsia="隶书"/>
          <w:b/>
          <w:bCs/>
          <w:spacing w:val="20"/>
          <w:sz w:val="30"/>
          <w:szCs w:val="30"/>
        </w:rPr>
        <w:t>审核组工作情况反馈表</w:t>
      </w:r>
      <w:bookmarkStart w:id="4" w:name="_GoBack"/>
      <w:bookmarkEnd w:id="4"/>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习水县丰田粮油购销有限公司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lang w:eastAsia="zh-CN"/>
              </w:rPr>
              <w:t>☑</w:t>
            </w:r>
            <w:r>
              <w:rPr>
                <w:rFonts w:hint="eastAsia"/>
                <w:sz w:val="22"/>
                <w:szCs w:val="22"/>
              </w:rPr>
              <w:t>GB/T22000-2006/ISO22000:2005</w:t>
            </w:r>
            <w:bookmarkEnd w:id="1"/>
            <w:r>
              <w:rPr>
                <w:rFonts w:ascii="宋体" w:hAnsi="宋体"/>
                <w:b/>
                <w:sz w:val="21"/>
                <w:szCs w:val="21"/>
                <w:u w:val="single"/>
              </w:rPr>
              <w:t xml:space="preserve"> </w:t>
            </w:r>
            <w:r>
              <w:rPr>
                <w:rFonts w:hint="eastAsia" w:ascii="宋体" w:hAnsi="宋体"/>
                <w:sz w:val="20"/>
                <w:u w:val="single"/>
                <w:lang w:val="en-GB"/>
              </w:rPr>
              <w:t>CNCA/CTS 0013-2008A (CCAA 0021-2014)《 食品安全管理体系 运输和贮藏企业要求》</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0424-2020-F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2017-N1FSMS-2011923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2020-08-19下午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2020-08-20中午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96AFF"/>
    <w:rsid w:val="658120D2"/>
    <w:rsid w:val="65C06343"/>
    <w:rsid w:val="6A0B7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2020-08-16T10:24:39Z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