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170930" cy="9101455"/>
            <wp:effectExtent l="0" t="0" r="1270" b="4445"/>
            <wp:docPr id="2" name="图片 2" descr="新文档 2020-09-01 11.09.1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9-01 11.09.14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0930" cy="910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bookmarkStart w:id="18" w:name="_GoBack"/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20"/>
        <w:gridCol w:w="422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无极县顺通有机化工有限公司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无极县城北工业区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郭奎永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13803362973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" w:name="联系人邮箱"/>
            <w:bookmarkEnd w:id="3"/>
            <w:r>
              <w:rPr>
                <w:sz w:val="21"/>
                <w:szCs w:val="21"/>
              </w:rPr>
              <w:t>052460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郭奎永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0311-85750283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wujishuntong@sina.com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0122-2019-Q-2020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  <w:u w:val="singl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</w:rPr>
              <w:t>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铸造用邦尼树脂（BNGF-1改性甲阶酚醛树脂），铸造用邦尼固化剂的生产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12.01.06;12.05.04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2020年09月01日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2020年09月01日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8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12.01.06,12.05.04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2020.8.31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2020.9.1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质量目标和实现计划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部：组织的岗位、职责权限；目标；产品和服务要求；外部提供的过程、产品和服务的控制；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spacing w:line="24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5.3/6.2/8.4/8.2/9.1.2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13:00-14:30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质检部：组织的岗位、职责权限、质量目标、监视和测量资源、产品和服务的放行、 不合格输出的控制、不合格和纠正措施</w:t>
            </w:r>
          </w:p>
          <w:p>
            <w:pPr>
              <w:spacing w:line="24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5.3/6.2/7.1.3/7.1.4/8.1/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8.5.1/8.5.2/8.5.4/8.5.6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4126A"/>
    <w:rsid w:val="32861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2020-09-04T01:43:18Z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