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b w:val="0"/>
          <w:bCs w:val="0"/>
          <w:sz w:val="21"/>
          <w:szCs w:val="21"/>
        </w:rPr>
        <w:t>0116-2020-EO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河北戈斯顿新能源科技有限公司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吉洁</w:t>
            </w:r>
          </w:p>
        </w:tc>
        <w:tc>
          <w:tcPr>
            <w:tcW w:w="992"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组长</w:t>
            </w:r>
          </w:p>
        </w:tc>
        <w:tc>
          <w:tcPr>
            <w:tcW w:w="1077"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女</w:t>
            </w:r>
          </w:p>
        </w:tc>
        <w:tc>
          <w:tcPr>
            <w:tcW w:w="3375" w:type="dxa"/>
            <w:gridSpan w:val="3"/>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2020-N1OHSMS-3022240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2020-N1EMS-3022240</w:t>
            </w:r>
          </w:p>
        </w:tc>
        <w:tc>
          <w:tcPr>
            <w:tcW w:w="2575" w:type="dxa"/>
            <w:gridSpan w:val="2"/>
            <w:vAlign w:val="center"/>
          </w:tcPr>
          <w:p>
            <w:pPr>
              <w:spacing w:line="240" w:lineRule="exact"/>
              <w:jc w:val="center"/>
              <w:rPr>
                <w:b w:val="0"/>
                <w:bCs/>
                <w:color w:val="000000"/>
                <w:sz w:val="20"/>
                <w:szCs w:val="20"/>
              </w:rPr>
            </w:pPr>
            <w:r>
              <w:rPr>
                <w:b w:val="0"/>
                <w:bCs/>
                <w:color w:val="000000"/>
                <w:sz w:val="20"/>
                <w:szCs w:val="20"/>
              </w:rPr>
              <w:t>E:29.12.00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lang w:val="en-US" w:eastAsia="zh-CN"/>
              </w:rPr>
              <w:t>补充</w:t>
            </w:r>
            <w:r>
              <w:rPr>
                <w:rFonts w:hint="eastAsia" w:ascii="宋体" w:cs="宋体" w:hAnsiTheme="minorHAnsi"/>
                <w:color w:val="000000" w:themeColor="text1"/>
                <w:kern w:val="0"/>
                <w:sz w:val="20"/>
                <w:szCs w:val="20"/>
              </w:rPr>
              <w:t>：</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hAnsi="宋体" w:cs="Times New Roman"/>
                <w:b w:val="0"/>
                <w:bCs w:val="0"/>
                <w:sz w:val="20"/>
                <w:szCs w:val="22"/>
                <w:lang w:val="en-US" w:eastAsia="zh-CN"/>
              </w:rPr>
              <w:t>对远程初次审核的现场补充验证，</w:t>
            </w:r>
            <w:r>
              <w:rPr>
                <w:rFonts w:hint="eastAsia" w:ascii="宋体" w:hAnsi="宋体"/>
                <w:b w:val="0"/>
                <w:bCs w:val="0"/>
                <w:sz w:val="20"/>
                <w:u w:val="none"/>
              </w:rPr>
              <w:t>验证组织管理体系是否持续有效运行，以确定是否推荐</w:t>
            </w:r>
            <w:r>
              <w:rPr>
                <w:rFonts w:hint="eastAsia" w:ascii="宋体" w:hAnsi="宋体"/>
                <w:b w:val="0"/>
                <w:bCs w:val="0"/>
                <w:sz w:val="20"/>
                <w:u w:val="none"/>
                <w:lang w:val="en-US" w:eastAsia="zh-CN"/>
              </w:rPr>
              <w:t>继续</w:t>
            </w:r>
            <w:r>
              <w:rPr>
                <w:rFonts w:hint="eastAsia" w:ascii="宋体" w:hAnsi="宋体"/>
                <w:b w:val="0"/>
                <w:bCs w:val="0"/>
                <w:sz w:val="20"/>
                <w:u w:val="none"/>
              </w:rPr>
              <w:t>保持认证注册资格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47"/>
        <w:gridCol w:w="772"/>
        <w:gridCol w:w="590"/>
        <w:gridCol w:w="350"/>
        <w:gridCol w:w="1623"/>
        <w:gridCol w:w="985"/>
        <w:gridCol w:w="15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2"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38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河北戈斯顿新能源科技有限公司</w:t>
            </w:r>
          </w:p>
        </w:tc>
        <w:tc>
          <w:tcPr>
            <w:tcW w:w="1993" w:type="dxa"/>
            <w:gridSpan w:val="3"/>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38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正定县科技工业园旺泉北街7号（河北大旗光电科技有限公司院内）</w:t>
            </w:r>
          </w:p>
        </w:tc>
        <w:tc>
          <w:tcPr>
            <w:tcW w:w="985"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38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正定县科技工业园旺泉北街7号（河北大旗光电科技有限公司院内）</w:t>
            </w:r>
          </w:p>
        </w:tc>
        <w:tc>
          <w:tcPr>
            <w:tcW w:w="985"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董会英</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7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b w:val="0"/>
                <w:bCs w:val="0"/>
                <w:sz w:val="21"/>
                <w:szCs w:val="21"/>
              </w:rPr>
              <w:t>18632105391</w:t>
            </w:r>
          </w:p>
        </w:tc>
        <w:tc>
          <w:tcPr>
            <w:tcW w:w="98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吴志锋</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7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吴志锋</w:t>
            </w:r>
          </w:p>
        </w:tc>
        <w:tc>
          <w:tcPr>
            <w:tcW w:w="985"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b w:val="0"/>
                <w:bCs w:val="0"/>
                <w:sz w:val="21"/>
                <w:szCs w:val="21"/>
              </w:rPr>
              <w:t>290190354@qq.com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管理体系认证范围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8384" w:type="dxa"/>
            <w:gridSpan w:val="9"/>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b w:val="0"/>
                <w:bCs/>
                <w:color w:val="000000"/>
                <w:sz w:val="20"/>
                <w:szCs w:val="20"/>
                <w:lang w:eastAsia="zh-CN"/>
              </w:rPr>
            </w:pPr>
            <w:bookmarkStart w:id="1" w:name="审核范围"/>
            <w:r>
              <w:rPr>
                <w:rFonts w:hint="eastAsia" w:ascii="宋体"/>
                <w:b w:val="0"/>
                <w:bCs/>
                <w:color w:val="000000"/>
                <w:sz w:val="20"/>
                <w:szCs w:val="20"/>
                <w:lang w:eastAsia="zh-CN"/>
              </w:rPr>
              <w:t>O：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及相关职业健康安全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hint="eastAsia" w:ascii="宋体"/>
                <w:b w:val="0"/>
                <w:bCs/>
                <w:color w:val="000000"/>
                <w:sz w:val="20"/>
                <w:szCs w:val="20"/>
                <w:lang w:eastAsia="zh-CN"/>
              </w:rPr>
              <w:t>E：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及相关环境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5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sz w:val="20"/>
                <w:szCs w:val="20"/>
                <w:lang w:eastAsia="zh-CN"/>
              </w:rPr>
            </w:pPr>
            <w:r>
              <w:rPr>
                <w:b w:val="0"/>
                <w:bCs/>
                <w:color w:val="000000"/>
                <w:sz w:val="20"/>
                <w:szCs w:val="20"/>
              </w:rPr>
              <w:t>29.12.00</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81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7</w:t>
            </w:r>
            <w:r>
              <w:rPr>
                <w:rFonts w:hint="default" w:ascii="Times New Roman" w:hAnsi="Times New Roman" w:cs="Times New Roman"/>
                <w:b w:val="0"/>
                <w:bCs/>
                <w:color w:val="000000"/>
                <w:sz w:val="20"/>
                <w:szCs w:val="20"/>
                <w:lang w:val="en-US" w:eastAsia="zh-CN"/>
              </w:rPr>
              <w:t>月1日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w:t>
            </w:r>
            <w:r>
              <w:rPr>
                <w:rFonts w:hint="eastAsia" w:ascii="宋体" w:hAnsi="宋体"/>
                <w:b/>
                <w:color w:val="000000" w:themeColor="text1"/>
                <w:sz w:val="20"/>
                <w:szCs w:val="20"/>
                <w:lang w:val="en-US" w:eastAsia="zh-CN"/>
              </w:rPr>
              <w:t>远程</w:t>
            </w:r>
            <w:r>
              <w:rPr>
                <w:rFonts w:hint="eastAsia" w:ascii="宋体" w:hAnsi="宋体"/>
                <w:b/>
                <w:color w:val="000000" w:themeColor="text1"/>
                <w:sz w:val="20"/>
                <w:szCs w:val="20"/>
              </w:rPr>
              <w:t>）</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2020.4.12-13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备注</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对初审远程审核的现场补充审核</w:t>
            </w: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供销部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9"/>
        <w:gridCol w:w="1100"/>
        <w:gridCol w:w="764"/>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9" w:type="dxa"/>
          </w:tcPr>
          <w:p>
            <w:pPr>
              <w:rPr>
                <w:b/>
                <w:color w:val="000000" w:themeColor="text1"/>
                <w:sz w:val="20"/>
                <w:szCs w:val="20"/>
              </w:rPr>
            </w:pPr>
            <w:r>
              <w:rPr>
                <w:rFonts w:hint="eastAsia"/>
                <w:b/>
                <w:color w:val="000000" w:themeColor="text1"/>
                <w:sz w:val="20"/>
                <w:szCs w:val="20"/>
              </w:rPr>
              <w:t>产品名称/服务名称</w:t>
            </w:r>
          </w:p>
        </w:tc>
        <w:tc>
          <w:tcPr>
            <w:tcW w:w="1100" w:type="dxa"/>
          </w:tcPr>
          <w:p>
            <w:pPr>
              <w:rPr>
                <w:b/>
                <w:color w:val="000000" w:themeColor="text1"/>
                <w:sz w:val="20"/>
                <w:szCs w:val="20"/>
              </w:rPr>
            </w:pPr>
            <w:r>
              <w:rPr>
                <w:rFonts w:hint="eastAsia"/>
                <w:b/>
                <w:color w:val="000000" w:themeColor="text1"/>
                <w:sz w:val="20"/>
                <w:szCs w:val="20"/>
              </w:rPr>
              <w:t>型号/类型</w:t>
            </w:r>
          </w:p>
        </w:tc>
        <w:tc>
          <w:tcPr>
            <w:tcW w:w="764" w:type="dxa"/>
          </w:tcPr>
          <w:p>
            <w:pPr>
              <w:rPr>
                <w:b/>
                <w:color w:val="000000" w:themeColor="text1"/>
                <w:sz w:val="20"/>
                <w:szCs w:val="20"/>
              </w:rPr>
            </w:pPr>
            <w:r>
              <w:rPr>
                <w:rFonts w:hint="eastAsia"/>
                <w:b/>
                <w:color w:val="000000" w:themeColor="text1"/>
                <w:sz w:val="20"/>
                <w:szCs w:val="20"/>
              </w:rPr>
              <w:t>规格</w:t>
            </w:r>
          </w:p>
        </w:tc>
        <w:tc>
          <w:tcPr>
            <w:tcW w:w="121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9" w:type="dxa"/>
          </w:tcPr>
          <w:p>
            <w:pPr>
              <w:rPr>
                <w:rFonts w:hint="default" w:eastAsia="宋体"/>
                <w:b/>
                <w:color w:val="000000" w:themeColor="text1"/>
                <w:sz w:val="20"/>
                <w:szCs w:val="20"/>
                <w:lang w:val="en-US" w:eastAsia="zh-CN"/>
              </w:rPr>
            </w:pPr>
            <w:r>
              <w:rPr>
                <w:rFonts w:hint="eastAsia"/>
                <w:color w:val="auto"/>
                <w:sz w:val="18"/>
                <w:szCs w:val="18"/>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rFonts w:hint="default" w:ascii="Times New Roman" w:hAnsi="Times New Roman" w:cs="Times New Roman"/>
                <w:b w:val="0"/>
                <w:bCs w:val="0"/>
                <w:sz w:val="18"/>
                <w:szCs w:val="18"/>
              </w:rPr>
              <w:t>的销售</w:t>
            </w:r>
          </w:p>
        </w:tc>
        <w:tc>
          <w:tcPr>
            <w:tcW w:w="1100" w:type="dxa"/>
          </w:tcPr>
          <w:p>
            <w:pPr>
              <w:rPr>
                <w:rFonts w:hint="default" w:eastAsia="宋体"/>
                <w:b/>
                <w:color w:val="000000" w:themeColor="text1"/>
                <w:sz w:val="20"/>
                <w:szCs w:val="20"/>
                <w:lang w:val="en-US" w:eastAsia="zh-CN"/>
              </w:rPr>
            </w:pPr>
            <w:r>
              <w:rPr>
                <w:rFonts w:hint="eastAsia"/>
                <w:sz w:val="20"/>
                <w:lang w:val="en-US" w:eastAsia="zh-CN"/>
              </w:rPr>
              <w:t>/</w:t>
            </w:r>
          </w:p>
        </w:tc>
        <w:tc>
          <w:tcPr>
            <w:tcW w:w="764"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210" w:type="dxa"/>
          </w:tcPr>
          <w:p>
            <w:pPr>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24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24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24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w:t>
            </w:r>
            <w:r>
              <w:rPr>
                <w:rFonts w:hint="eastAsia"/>
                <w:lang w:eastAsia="zh-CN"/>
              </w:rPr>
              <w:t>，</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p>
          <w:p>
            <w:pPr>
              <w:keepNext w:val="0"/>
              <w:keepLines w:val="0"/>
              <w:pageBreakBefore w:val="0"/>
              <w:kinsoku/>
              <w:wordWrap/>
              <w:overflowPunct/>
              <w:topLinePunct w:val="0"/>
              <w:autoSpaceDE/>
              <w:autoSpaceDN/>
              <w:bidi w:val="0"/>
              <w:adjustRightInd/>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lang w:val="en-US" w:eastAsia="zh-CN"/>
              </w:rPr>
              <w:t>5.</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办公室/供销部根据部门所涉及的环境因素进行识别，并评价出重要环境因素，提供环境因素评价记录，目前环境因素识别基本完整，评价的重要环境因素为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pacing w:val="-12"/>
                <w:sz w:val="20"/>
                <w:szCs w:val="20"/>
                <w:lang w:val="en-US" w:eastAsia="zh-CN"/>
              </w:rPr>
              <w:t>6.</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办公室/供销部根据部门所涉及的危险源进行识别，并评价出重大危险源，提供重大危险源评价记录，目前危险源识别基本完整，评价的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u w:val="none" w:color="auto"/>
                <w:lang w:eastAsia="zh-CN"/>
              </w:rPr>
              <w:t>、</w:t>
            </w:r>
            <w:r>
              <w:rPr>
                <w:rFonts w:hint="eastAsia"/>
                <w:u w:val="none" w:color="auto"/>
                <w:lang w:val="en-US" w:eastAsia="zh-CN"/>
              </w:rPr>
              <w:t>物体打击</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7.</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8.</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公司环境目标指标：1.固体废弃物100％分类处置；2.杜绝火灾事故。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公司职业健康安全指标：1.杜绝死亡、重伤事故、火灾事故；2.每年轻伤事故频率控制在3起以内；3.杜绝职业病的发生。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w:t>
            </w:r>
            <w:r>
              <w:rPr>
                <w:rFonts w:hint="eastAsia" w:ascii="宋体" w:cs="宋体"/>
                <w:color w:val="auto"/>
                <w:sz w:val="21"/>
                <w:szCs w:val="21"/>
                <w:lang w:val="en-US" w:eastAsia="zh-CN"/>
              </w:rPr>
              <w:t>查看</w:t>
            </w:r>
            <w:r>
              <w:rPr>
                <w:rFonts w:hint="eastAsia"/>
                <w:lang w:val="en-US" w:eastAsia="zh-CN"/>
              </w:rPr>
              <w:t>2020年2季度目标考核记录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rPr>
              <w:t>配备</w:t>
            </w:r>
            <w:r>
              <w:rPr>
                <w:rFonts w:hint="eastAsia"/>
                <w:sz w:val="21"/>
                <w:szCs w:val="21"/>
              </w:rPr>
              <w:t>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cs="Times New Roman"/>
                <w:sz w:val="21"/>
                <w:szCs w:val="21"/>
                <w:lang w:val="en-US" w:eastAsia="zh-CN"/>
              </w:rPr>
              <w:t>20</w:t>
            </w:r>
            <w:r>
              <w:rPr>
                <w:rFonts w:hint="default" w:ascii="Times New Roman" w:hAnsi="Times New Roman" w:cs="Times New Roman"/>
                <w:sz w:val="21"/>
                <w:szCs w:val="21"/>
              </w:rPr>
              <w:t>0平米；</w:t>
            </w:r>
            <w:r>
              <w:rPr>
                <w:rFonts w:hint="eastAsia" w:cs="Times New Roman"/>
                <w:sz w:val="21"/>
                <w:szCs w:val="21"/>
                <w:lang w:val="en-US" w:eastAsia="zh-CN"/>
              </w:rPr>
              <w:t>库房5</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w:t>
            </w:r>
            <w:r>
              <w:rPr>
                <w:rFonts w:hint="eastAsia"/>
                <w:u w:val="none" w:color="auto"/>
                <w:lang w:val="en-US" w:eastAsia="zh-CN"/>
              </w:rPr>
              <w:t>GB/T24001-2016《环境管理体系 要求及使用指南》、GB/T 45001-2020《职业健康安全管理体系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警示牌、灭火器、手套、安全帽、口罩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pacing w:val="-8"/>
                <w:sz w:val="20"/>
                <w:szCs w:val="20"/>
                <w:lang w:val="en-US" w:eastAsia="zh-CN"/>
              </w:rPr>
              <w:t>3.</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sz w:val="21"/>
                <w:szCs w:val="21"/>
              </w:rPr>
              <w:t>环境因素识别评价与控制程序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涉及有固废处置、资源控制、火灾、相关方施加影响等。查看办公区域</w:t>
            </w:r>
            <w:r>
              <w:rPr>
                <w:rFonts w:hint="eastAsia"/>
                <w:b w:val="0"/>
                <w:bCs w:val="0"/>
                <w:sz w:val="21"/>
                <w:szCs w:val="21"/>
                <w:lang w:eastAsia="zh-CN"/>
              </w:rPr>
              <w:t>、</w:t>
            </w:r>
            <w:r>
              <w:rPr>
                <w:rFonts w:hint="eastAsia"/>
                <w:b w:val="0"/>
                <w:bCs w:val="0"/>
                <w:sz w:val="21"/>
                <w:szCs w:val="21"/>
                <w:lang w:val="en-US" w:eastAsia="zh-CN"/>
              </w:rPr>
              <w:t>库房</w:t>
            </w:r>
            <w:r>
              <w:rPr>
                <w:rFonts w:hint="eastAsia"/>
                <w:b w:val="0"/>
                <w:bCs w:val="0"/>
                <w:sz w:val="21"/>
                <w:szCs w:val="21"/>
              </w:rPr>
              <w:t>干净整洁，</w:t>
            </w:r>
            <w:r>
              <w:rPr>
                <w:rFonts w:hint="eastAsia"/>
                <w:b w:val="0"/>
                <w:bCs w:val="0"/>
                <w:sz w:val="21"/>
                <w:szCs w:val="21"/>
                <w:lang w:val="en-US" w:eastAsia="zh-CN"/>
              </w:rPr>
              <w:t>配置固废分类装置，</w:t>
            </w:r>
            <w:r>
              <w:rPr>
                <w:rFonts w:hint="eastAsia"/>
                <w:b w:val="0"/>
                <w:bCs w:val="0"/>
                <w:sz w:val="21"/>
                <w:szCs w:val="21"/>
              </w:rPr>
              <w:t>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numPr>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b/>
                <w:color w:val="000000" w:themeColor="text1"/>
                <w:sz w:val="20"/>
                <w:szCs w:val="20"/>
                <w:lang w:val="en-US"/>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物体打击、车辆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查看办公区域</w:t>
            </w:r>
            <w:r>
              <w:rPr>
                <w:rFonts w:hint="eastAsia"/>
                <w:b w:val="0"/>
                <w:bCs w:val="0"/>
                <w:sz w:val="21"/>
                <w:szCs w:val="21"/>
                <w:lang w:eastAsia="zh-CN"/>
              </w:rPr>
              <w:t>、</w:t>
            </w:r>
            <w:r>
              <w:rPr>
                <w:rFonts w:hint="eastAsia"/>
                <w:b w:val="0"/>
                <w:bCs w:val="0"/>
                <w:sz w:val="21"/>
                <w:szCs w:val="21"/>
                <w:lang w:val="en-US" w:eastAsia="zh-CN"/>
              </w:rPr>
              <w:t>库房</w:t>
            </w:r>
            <w:r>
              <w:rPr>
                <w:rFonts w:hint="eastAsia"/>
                <w:b w:val="0"/>
                <w:bCs w:val="0"/>
                <w:sz w:val="21"/>
                <w:szCs w:val="21"/>
              </w:rPr>
              <w:t>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xml:space="preserve">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9年12月15-16日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2019</w:t>
            </w:r>
            <w:r>
              <w:rPr>
                <w:rFonts w:hint="eastAsia" w:cs="宋体"/>
              </w:rPr>
              <w:t>年</w:t>
            </w:r>
            <w:r>
              <w:rPr>
                <w:rFonts w:hint="eastAsia"/>
                <w:lang w:val="en-US" w:eastAsia="zh-CN"/>
              </w:rPr>
              <w:t>12</w:t>
            </w:r>
            <w:r>
              <w:rPr>
                <w:rFonts w:hint="eastAsia" w:cs="宋体"/>
              </w:rPr>
              <w:t>月</w:t>
            </w:r>
            <w:r>
              <w:rPr>
                <w:rFonts w:hint="eastAsia"/>
                <w:lang w:val="en-US" w:eastAsia="zh-CN"/>
              </w:rPr>
              <w:t>28</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eastAsia="zh-CN"/>
              </w:rPr>
            </w:pPr>
            <w:r>
              <w:rPr>
                <w:rFonts w:hint="eastAsia"/>
                <w:b/>
                <w:color w:val="000000"/>
                <w:sz w:val="21"/>
                <w:szCs w:val="21"/>
                <w:lang w:val="en-US" w:eastAsia="zh-CN"/>
              </w:rPr>
              <w:t>1.</w:t>
            </w:r>
            <w:r>
              <w:rPr>
                <w:rFonts w:hint="eastAsia"/>
                <w:b/>
                <w:color w:val="000000"/>
                <w:sz w:val="21"/>
                <w:szCs w:val="21"/>
              </w:rPr>
              <w:t>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numPr>
                <w:ilvl w:val="0"/>
                <w:numId w:val="0"/>
              </w:numPr>
              <w:kinsoku/>
              <w:wordWrap/>
              <w:overflowPunct/>
              <w:topLinePunct w:val="0"/>
              <w:autoSpaceDE/>
              <w:autoSpaceDN/>
              <w:bidi w:val="0"/>
              <w:adjustRightInd/>
              <w:snapToGrid/>
              <w:spacing w:line="360" w:lineRule="exact"/>
              <w:ind w:left="-105" w:leftChars="-50" w:firstLine="211" w:firstLineChars="100"/>
              <w:textAlignment w:val="auto"/>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ind w:left="105" w:leftChars="0" w:hanging="105" w:hangingChars="50"/>
              <w:textAlignment w:val="auto"/>
              <w:rPr>
                <w:rFonts w:hint="eastAsia" w:ascii="宋体" w:hAnsi="宋体"/>
                <w:b/>
                <w:sz w:val="21"/>
                <w:szCs w:val="21"/>
                <w:lang w:eastAsia="zh-CN"/>
              </w:rPr>
            </w:pPr>
            <w:r>
              <w:rPr>
                <w:rFonts w:hint="eastAsia" w:ascii="宋体" w:hAnsi="宋体"/>
                <w:b/>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105" w:leftChars="-50" w:firstLine="210" w:firstLineChars="100"/>
              <w:textAlignment w:val="auto"/>
              <w:rPr>
                <w:rFonts w:hint="default" w:ascii="宋体" w:hAnsi="宋体" w:eastAsia="宋体" w:cs="Times New Roman"/>
                <w:b/>
                <w:kern w:val="2"/>
                <w:sz w:val="21"/>
                <w:szCs w:val="21"/>
                <w:lang w:val="en-US" w:eastAsia="zh-CN" w:bidi="ar-SA"/>
              </w:rPr>
            </w:pP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rPr>
              <w:t>上次审核发现的不符合项</w:t>
            </w:r>
            <w:r>
              <w:rPr>
                <w:rFonts w:hint="eastAsia"/>
                <w:color w:val="auto"/>
                <w:sz w:val="21"/>
                <w:szCs w:val="21"/>
                <w:lang w:eastAsia="zh-CN"/>
              </w:rPr>
              <w:t>为</w:t>
            </w:r>
            <w:r>
              <w:rPr>
                <w:rFonts w:hint="eastAsia"/>
                <w:color w:val="auto"/>
                <w:sz w:val="21"/>
                <w:szCs w:val="21"/>
                <w:lang w:val="en-US" w:eastAsia="zh-CN"/>
              </w:rPr>
              <w:t>供销部E8.1、O8.1.4.3</w:t>
            </w:r>
            <w:r>
              <w:rPr>
                <w:rFonts w:hint="eastAsia"/>
                <w:color w:val="auto"/>
                <w:sz w:val="21"/>
                <w:szCs w:val="21"/>
                <w:lang w:val="en-US" w:eastAsia="zh-CN"/>
              </w:rPr>
              <w:t>，</w:t>
            </w:r>
            <w:r>
              <w:rPr>
                <w:rFonts w:hint="eastAsia"/>
                <w:color w:val="auto"/>
                <w:sz w:val="21"/>
                <w:szCs w:val="21"/>
              </w:rPr>
              <w:t>相关责任部门对</w:t>
            </w:r>
            <w:r>
              <w:rPr>
                <w:rFonts w:hint="eastAsia"/>
                <w:color w:val="auto"/>
                <w:sz w:val="21"/>
                <w:szCs w:val="21"/>
                <w:lang w:eastAsia="zh-CN"/>
              </w:rPr>
              <w:t>其</w:t>
            </w:r>
            <w:r>
              <w:rPr>
                <w:rFonts w:hint="eastAsia"/>
                <w:color w:val="auto"/>
                <w:sz w:val="21"/>
                <w:szCs w:val="21"/>
              </w:rPr>
              <w:t>进行了原因分析，制定并采取了</w:t>
            </w:r>
            <w:r>
              <w:rPr>
                <w:rFonts w:hint="eastAsia"/>
                <w:color w:val="auto"/>
                <w:sz w:val="21"/>
                <w:szCs w:val="21"/>
                <w:lang w:eastAsia="zh-CN"/>
              </w:rPr>
              <w:t>纠正及</w:t>
            </w:r>
            <w:r>
              <w:rPr>
                <w:rFonts w:hint="eastAsia"/>
                <w:color w:val="auto"/>
                <w:sz w:val="21"/>
                <w:szCs w:val="21"/>
              </w:rPr>
              <w:t>纠正措施，</w:t>
            </w:r>
            <w:r>
              <w:rPr>
                <w:rFonts w:hint="eastAsia"/>
                <w:color w:val="auto"/>
                <w:sz w:val="21"/>
                <w:szCs w:val="21"/>
                <w:lang w:val="en-US" w:eastAsia="zh-CN"/>
              </w:rPr>
              <w:t>本次现场审核未发生类似问题，采取的纠正措施有效。</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422" w:firstLineChars="200"/>
        <w:rPr>
          <w:rFonts w:hint="eastAsia" w:eastAsia="宋体"/>
          <w:b/>
          <w:color w:val="000000" w:themeColor="text1"/>
          <w:lang w:val="en-US" w:eastAsia="zh-CN"/>
        </w:rPr>
      </w:pPr>
      <w:r>
        <w:rPr>
          <w:rFonts w:hint="eastAsia"/>
          <w:b/>
          <w:color w:val="000000" w:themeColor="text1"/>
        </w:rPr>
        <w:t>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val="en-US" w:eastAsia="zh-CN"/>
        </w:rPr>
        <w:t>.</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河北戈斯顿新能源科技有限公司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rPr>
                <w:b w:val="0"/>
                <w:bCs w:val="0"/>
                <w:color w:val="auto"/>
                <w:sz w:val="20"/>
                <w:szCs w:val="20"/>
              </w:rPr>
            </w:pPr>
            <w:r>
              <w:rPr>
                <w:b w:val="0"/>
                <w:bCs w:val="0"/>
                <w:color w:val="auto"/>
                <w:sz w:val="20"/>
                <w:szCs w:val="20"/>
              </w:rPr>
              <w:t>O：</w:t>
            </w:r>
            <w:r>
              <w:rPr>
                <w:rFonts w:hint="eastAsia"/>
                <w:color w:val="auto"/>
                <w:sz w:val="20"/>
                <w:szCs w:val="20"/>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0"/>
                <w:szCs w:val="20"/>
              </w:rPr>
              <w:t>的销售及相关职业健康安全管理活动</w:t>
            </w:r>
          </w:p>
          <w:p>
            <w:pPr>
              <w:rPr>
                <w:rFonts w:hint="eastAsia"/>
                <w:b/>
                <w:color w:val="000000" w:themeColor="text1"/>
              </w:rPr>
            </w:pPr>
            <w:r>
              <w:rPr>
                <w:b w:val="0"/>
                <w:bCs w:val="0"/>
                <w:color w:val="auto"/>
                <w:sz w:val="20"/>
                <w:szCs w:val="20"/>
              </w:rPr>
              <w:t>E：</w:t>
            </w:r>
            <w:r>
              <w:rPr>
                <w:rFonts w:hint="eastAsia"/>
                <w:b w:val="0"/>
                <w:bCs w:val="0"/>
                <w:color w:val="auto"/>
                <w:sz w:val="20"/>
                <w:szCs w:val="20"/>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0"/>
                <w:szCs w:val="20"/>
              </w:rPr>
              <w:t>的销售及相关环境管理活动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7"/>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1537970</wp:posOffset>
            </wp:positionH>
            <wp:positionV relativeFrom="paragraph">
              <wp:posOffset>173355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b/>
          <w:color w:val="000000" w:themeColor="text1"/>
          <w:sz w:val="26"/>
          <w:szCs w:val="26"/>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14</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bookmarkStart w:id="4" w:name="_GoBack"/>
      <w:bookmarkEnd w:id="4"/>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FEE95"/>
    <w:multiLevelType w:val="singleLevel"/>
    <w:tmpl w:val="C74FEE95"/>
    <w:lvl w:ilvl="0" w:tentative="0">
      <w:start w:val="2"/>
      <w:numFmt w:val="decimal"/>
      <w:suff w:val="nothing"/>
      <w:lvlText w:val="%1、"/>
      <w:lvlJc w:val="left"/>
    </w:lvl>
  </w:abstractNum>
  <w:abstractNum w:abstractNumId="1">
    <w:nsid w:val="04016EC4"/>
    <w:multiLevelType w:val="singleLevel"/>
    <w:tmpl w:val="04016EC4"/>
    <w:lvl w:ilvl="0" w:tentative="0">
      <w:start w:val="2"/>
      <w:numFmt w:val="decimal"/>
      <w:lvlText w:val="%1."/>
      <w:lvlJc w:val="left"/>
      <w:pPr>
        <w:tabs>
          <w:tab w:val="left" w:pos="312"/>
        </w:tabs>
      </w:pPr>
    </w:lvl>
  </w:abstractNum>
  <w:abstractNum w:abstractNumId="2">
    <w:nsid w:val="364440EF"/>
    <w:multiLevelType w:val="singleLevel"/>
    <w:tmpl w:val="364440EF"/>
    <w:lvl w:ilvl="0" w:tentative="0">
      <w:start w:val="11"/>
      <w:numFmt w:val="chineseCounting"/>
      <w:suff w:val="nothing"/>
      <w:lvlText w:val="%1、"/>
      <w:lvlJc w:val="left"/>
      <w:rPr>
        <w:rFonts w:hint="eastAsia"/>
      </w:r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73FC62"/>
    <w:multiLevelType w:val="singleLevel"/>
    <w:tmpl w:val="5F73FC62"/>
    <w:lvl w:ilvl="0" w:tentative="0">
      <w:start w:val="9"/>
      <w:numFmt w:val="decimal"/>
      <w:suff w:val="space"/>
      <w:lvlText w:val="%1."/>
      <w:lvlJc w:val="left"/>
    </w:lvl>
  </w:abstractNum>
  <w:abstractNum w:abstractNumId="6">
    <w:nsid w:val="7BC294AD"/>
    <w:multiLevelType w:val="singleLevel"/>
    <w:tmpl w:val="7BC294AD"/>
    <w:lvl w:ilvl="0" w:tentative="0">
      <w:start w:val="5"/>
      <w:numFmt w:val="decimal"/>
      <w:suff w:val="space"/>
      <w:lvlText w:val="%1."/>
      <w:lvlJc w:val="left"/>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BA13DE9"/>
    <w:rsid w:val="18D77FE3"/>
    <w:rsid w:val="1C440198"/>
    <w:rsid w:val="21611269"/>
    <w:rsid w:val="229447B7"/>
    <w:rsid w:val="22DF6A1C"/>
    <w:rsid w:val="262038F9"/>
    <w:rsid w:val="29A9333B"/>
    <w:rsid w:val="29E70823"/>
    <w:rsid w:val="36CF437D"/>
    <w:rsid w:val="372F4304"/>
    <w:rsid w:val="3AFE3AFE"/>
    <w:rsid w:val="3C6210A8"/>
    <w:rsid w:val="3F9B4A9B"/>
    <w:rsid w:val="4B4A3A22"/>
    <w:rsid w:val="57A97EAC"/>
    <w:rsid w:val="5CDD1C2D"/>
    <w:rsid w:val="63AC66A7"/>
    <w:rsid w:val="6C6E1A4E"/>
    <w:rsid w:val="77482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3</TotalTime>
  <ScaleCrop>false</ScaleCrop>
  <LinksUpToDate>false</LinksUpToDate>
  <CharactersWithSpaces>9995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2020-08-14T02:10:36Z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