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20"/>
        <w:gridCol w:w="322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四川恒劲人防设备有限公司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四川省德阳市区龙泉山南路三段37号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18231875050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储周龙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bookmarkStart w:id="18" w:name="_GoBack"/>
            <w:r>
              <w:rPr>
                <w:sz w:val="20"/>
              </w:rPr>
              <w:t>0098-2018-Q-2020</w:t>
            </w:r>
            <w:bookmarkEnd w:id="18"/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资质范围内钢筋混凝土防护设备、钢结构手动防护设备的生产和阀门的销售.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18.05.02;29.11.04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2020年08月14日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2020年08月14日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7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18.05.02,29.11.04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57"/>
              <w:gridCol w:w="1548"/>
              <w:gridCol w:w="7728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0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8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0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39" w:hRule="atLeast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标准/规范/法规的执行情况、上次审核不符合项的验证（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采购部：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5.3组织的角色、职责和权限；6.2质量目标及其实现的策划；8.4外部提供过程、产品和服务的控制（上次审核不符合项的验证）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11:00-12:00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5.3组织的角色、职责和权限；6.2质量目标及其实现的策划；8.2产品和服务的要求；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8.5.1生产和服务提供的控制（阀门的销售）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8.5.3顾客或外部供方的财产；8.5.5交付后的活动； 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12:00-13:00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13:00-15:30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7.1.5监视和测量资源;8.1运行策划和控制；8.3设计开发控制；8.5.1生产和服务提供的控制；8.5.2标识和可追溯性；8.5.4防护；8.5.6更改控制；8.6产品和服务放行；8.7不合格输出的控制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15:30-16:30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 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16:30-17:00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末次会议（张心）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D2AE4"/>
    <w:rsid w:val="0F2C30E2"/>
    <w:rsid w:val="175221F3"/>
    <w:rsid w:val="24097F0B"/>
    <w:rsid w:val="26A62FE7"/>
    <w:rsid w:val="2E120A59"/>
    <w:rsid w:val="54BB2316"/>
    <w:rsid w:val="59A6165D"/>
    <w:rsid w:val="67A71E24"/>
    <w:rsid w:val="67DE0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2020-08-11T13:59:00Z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